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A2" w:rsidRPr="00CB0C73" w:rsidRDefault="000927A2" w:rsidP="000927A2">
      <w:pPr>
        <w:pStyle w:val="Heading2"/>
        <w:spacing w:after="240"/>
        <w:ind w:left="0"/>
        <w:jc w:val="both"/>
        <w:rPr>
          <w:rFonts w:asciiTheme="majorHAnsi" w:eastAsiaTheme="majorEastAsia" w:hAnsiTheme="majorHAnsi" w:cstheme="majorBidi"/>
          <w:b/>
          <w:iCs/>
          <w:color w:val="365F91" w:themeColor="accent1" w:themeShade="BF"/>
          <w:lang w:val="en-AU" w:eastAsia="zh-CN"/>
        </w:rPr>
      </w:pPr>
      <w:bookmarkStart w:id="0" w:name="_GoBack"/>
      <w:bookmarkEnd w:id="0"/>
      <w:r w:rsidRPr="00CB0C73">
        <w:rPr>
          <w:rFonts w:asciiTheme="majorHAnsi" w:eastAsiaTheme="majorEastAsia" w:hAnsiTheme="majorHAnsi" w:cstheme="majorBidi"/>
          <w:b/>
          <w:iCs/>
          <w:color w:val="365F91" w:themeColor="accent1" w:themeShade="BF"/>
          <w:lang w:val="en-AU" w:eastAsia="zh-CN"/>
        </w:rPr>
        <w:t>Supporting successful transitions</w:t>
      </w:r>
    </w:p>
    <w:p w:rsidR="000927A2" w:rsidRPr="00CB0C73" w:rsidRDefault="000927A2" w:rsidP="000927A2">
      <w:pPr>
        <w:pStyle w:val="Heading2"/>
        <w:spacing w:after="240"/>
        <w:ind w:left="0"/>
        <w:jc w:val="both"/>
        <w:rPr>
          <w:rFonts w:asciiTheme="majorHAnsi" w:eastAsiaTheme="majorEastAsia" w:hAnsiTheme="majorHAnsi" w:cstheme="majorBidi"/>
          <w:b/>
          <w:iCs/>
          <w:color w:val="365F91" w:themeColor="accent1" w:themeShade="BF"/>
          <w:lang w:val="en-AU" w:eastAsia="zh-CN"/>
        </w:rPr>
      </w:pPr>
      <w:r w:rsidRPr="00CB0C73">
        <w:rPr>
          <w:rFonts w:asciiTheme="majorHAnsi" w:eastAsiaTheme="majorEastAsia" w:hAnsiTheme="majorHAnsi" w:cstheme="majorBidi"/>
          <w:b/>
          <w:iCs/>
          <w:color w:val="365F91" w:themeColor="accent1" w:themeShade="BF"/>
          <w:lang w:val="en-AU" w:eastAsia="zh-CN"/>
        </w:rPr>
        <w:t>Resp</w:t>
      </w:r>
      <w:r>
        <w:rPr>
          <w:rFonts w:asciiTheme="majorHAnsi" w:eastAsiaTheme="majorEastAsia" w:hAnsiTheme="majorHAnsi" w:cstheme="majorBidi"/>
          <w:b/>
          <w:iCs/>
          <w:color w:val="365F91" w:themeColor="accent1" w:themeShade="BF"/>
          <w:lang w:val="en-AU" w:eastAsia="zh-CN"/>
        </w:rPr>
        <w:t>onsive environments</w:t>
      </w:r>
      <w:r w:rsidRPr="00CB0C73">
        <w:rPr>
          <w:rFonts w:asciiTheme="majorHAnsi" w:eastAsiaTheme="majorEastAsia" w:hAnsiTheme="majorHAnsi" w:cstheme="majorBidi"/>
          <w:b/>
          <w:iCs/>
          <w:color w:val="365F91" w:themeColor="accent1" w:themeShade="BF"/>
          <w:lang w:val="en-AU" w:eastAsia="zh-CN"/>
        </w:rPr>
        <w:t>:</w:t>
      </w:r>
      <w:r w:rsidRPr="00CB0C73">
        <w:rPr>
          <w:rFonts w:asciiTheme="majorHAnsi" w:eastAsiaTheme="majorEastAsia" w:hAnsiTheme="majorHAnsi" w:cstheme="majorBidi"/>
          <w:b/>
          <w:iCs/>
          <w:color w:val="365F91" w:themeColor="accent1" w:themeShade="BF"/>
          <w:lang w:val="en-AU" w:eastAsia="zh-CN"/>
        </w:rPr>
        <w:tab/>
      </w:r>
      <w:r w:rsidRPr="00CB0C73">
        <w:rPr>
          <w:rFonts w:asciiTheme="majorHAnsi" w:eastAsiaTheme="majorEastAsia" w:hAnsiTheme="majorHAnsi" w:cstheme="majorBidi"/>
          <w:b/>
          <w:iCs/>
          <w:color w:val="365F91" w:themeColor="accent1" w:themeShade="BF"/>
          <w:lang w:val="en-AU" w:eastAsia="zh-CN"/>
        </w:rPr>
        <w:tab/>
        <w:t xml:space="preserve">          </w:t>
      </w:r>
    </w:p>
    <w:p w:rsidR="000927A2" w:rsidRPr="00CB0C73" w:rsidRDefault="000927A2" w:rsidP="000927A2">
      <w:pPr>
        <w:pStyle w:val="Heading2"/>
        <w:spacing w:after="240"/>
        <w:ind w:left="0"/>
        <w:jc w:val="both"/>
        <w:rPr>
          <w:rFonts w:asciiTheme="majorHAnsi" w:eastAsiaTheme="majorEastAsia" w:hAnsiTheme="majorHAnsi" w:cstheme="majorBidi"/>
          <w:b/>
          <w:iCs/>
          <w:color w:val="365F91" w:themeColor="accent1" w:themeShade="BF"/>
          <w:lang w:val="en-AU" w:eastAsia="zh-CN"/>
        </w:rPr>
      </w:pPr>
      <w:r w:rsidRPr="00CB0C73">
        <w:rPr>
          <w:rFonts w:asciiTheme="majorHAnsi" w:eastAsiaTheme="majorEastAsia" w:hAnsiTheme="majorHAnsi" w:cstheme="majorBidi"/>
          <w:b/>
          <w:iCs/>
          <w:color w:val="365F91" w:themeColor="accent1" w:themeShade="BF"/>
          <w:lang w:val="en-AU" w:eastAsia="zh-CN"/>
        </w:rPr>
        <w:t xml:space="preserve">Information for schools </w:t>
      </w:r>
    </w:p>
    <w:p w:rsidR="000927A2" w:rsidRPr="000927A2" w:rsidRDefault="000927A2" w:rsidP="000927A2">
      <w:pPr>
        <w:spacing w:before="240" w:after="240" w:line="276" w:lineRule="auto"/>
        <w:rPr>
          <w:rFonts w:ascii="Arial" w:eastAsia="Trebuchet MS" w:hAnsi="Arial" w:cs="Arial"/>
          <w:sz w:val="18"/>
          <w:szCs w:val="18"/>
        </w:rPr>
      </w:pPr>
      <w:r w:rsidRPr="000927A2">
        <w:rPr>
          <w:rFonts w:ascii="Arial" w:eastAsia="Trebuchet MS" w:hAnsi="Arial" w:cs="Arial"/>
          <w:sz w:val="18"/>
          <w:szCs w:val="18"/>
        </w:rPr>
        <w:t>Current research highlights the importance of high quality, responsive environments and the role they play in supporting a child’s successful transition to school. High quality environments create opportunities for learning and play that facilitate children’s cognitive, social, emotional and physical development (Berris and Miller, 2011).</w:t>
      </w:r>
    </w:p>
    <w:p w:rsidR="000927A2" w:rsidRPr="000927A2" w:rsidRDefault="000927A2" w:rsidP="000927A2">
      <w:pPr>
        <w:spacing w:before="240" w:after="240" w:line="276" w:lineRule="auto"/>
        <w:rPr>
          <w:rFonts w:ascii="Arial" w:eastAsia="Trebuchet MS" w:hAnsi="Arial" w:cs="Arial"/>
          <w:sz w:val="18"/>
          <w:szCs w:val="18"/>
        </w:rPr>
      </w:pPr>
      <w:r w:rsidRPr="000927A2">
        <w:rPr>
          <w:rFonts w:ascii="Arial" w:eastAsia="Trebuchet MS" w:hAnsi="Arial" w:cs="Arial"/>
          <w:sz w:val="18"/>
          <w:szCs w:val="18"/>
        </w:rPr>
        <w:t>While it is important to consider the impact of the environment on children’s learning and development throughout their schooling, this focus is particularly crucial during transition to school. In their transition to school, the environment plays an important role</w:t>
      </w:r>
      <w:r>
        <w:rPr>
          <w:rFonts w:ascii="Arial" w:eastAsia="Trebuchet MS" w:hAnsi="Arial" w:cs="Arial"/>
          <w:sz w:val="18"/>
          <w:szCs w:val="18"/>
        </w:rPr>
        <w:t xml:space="preserve"> </w:t>
      </w:r>
      <w:r w:rsidRPr="000927A2">
        <w:rPr>
          <w:rFonts w:ascii="Arial" w:eastAsia="Trebuchet MS" w:hAnsi="Arial" w:cs="Arial"/>
          <w:sz w:val="18"/>
          <w:szCs w:val="18"/>
        </w:rPr>
        <w:t>in supporting a child’s development of friendships, engagement in learning and emerging sense of belon</w:t>
      </w:r>
      <w:r>
        <w:rPr>
          <w:rFonts w:ascii="Arial" w:eastAsia="Trebuchet MS" w:hAnsi="Arial" w:cs="Arial"/>
          <w:sz w:val="18"/>
          <w:szCs w:val="18"/>
        </w:rPr>
        <w:t>ging (Berris and Miller, 2011).</w:t>
      </w:r>
    </w:p>
    <w:p w:rsidR="005F5D72" w:rsidRDefault="000927A2" w:rsidP="000927A2">
      <w:pPr>
        <w:spacing w:before="240" w:after="240" w:line="276" w:lineRule="auto"/>
        <w:rPr>
          <w:rFonts w:ascii="Arial" w:eastAsia="Trebuchet MS" w:hAnsi="Arial" w:cs="Arial"/>
          <w:sz w:val="18"/>
          <w:szCs w:val="18"/>
        </w:rPr>
      </w:pPr>
      <w:r w:rsidRPr="000927A2">
        <w:rPr>
          <w:rFonts w:ascii="Arial" w:eastAsia="Trebuchet MS" w:hAnsi="Arial" w:cs="Arial"/>
          <w:sz w:val="18"/>
          <w:szCs w:val="18"/>
        </w:rPr>
        <w:t>Therefore, it is important schools reflect on the physical, social, temporal and procedural environments which can support children and families to feel welcome, secure and significant as they transition to school.</w:t>
      </w:r>
    </w:p>
    <w:p w:rsidR="000927A2" w:rsidRPr="00CB0C73" w:rsidRDefault="000927A2" w:rsidP="000927A2">
      <w:pPr>
        <w:pStyle w:val="Heading2"/>
        <w:ind w:left="0"/>
        <w:rPr>
          <w:rFonts w:ascii="Arial" w:hAnsi="Arial" w:cs="Arial"/>
          <w:sz w:val="18"/>
          <w:szCs w:val="18"/>
        </w:rPr>
      </w:pPr>
      <w:r w:rsidRPr="00CB0C73">
        <w:rPr>
          <w:rFonts w:asciiTheme="majorHAnsi" w:eastAsiaTheme="majorEastAsia" w:hAnsiTheme="majorHAnsi" w:cstheme="majorBidi"/>
          <w:b/>
          <w:iCs/>
          <w:color w:val="4F81BD" w:themeColor="accent1"/>
          <w:sz w:val="26"/>
          <w:szCs w:val="26"/>
          <w:lang w:val="en-AU" w:eastAsia="zh-CN"/>
        </w:rPr>
        <w:t>Respect for diversity</w:t>
      </w:r>
    </w:p>
    <w:p w:rsidR="000927A2" w:rsidRPr="000927A2" w:rsidRDefault="000927A2" w:rsidP="000927A2">
      <w:pPr>
        <w:spacing w:before="240" w:after="240" w:line="276" w:lineRule="auto"/>
        <w:rPr>
          <w:rFonts w:ascii="Arial" w:eastAsia="Trebuchet MS" w:hAnsi="Arial" w:cs="Arial"/>
          <w:sz w:val="18"/>
          <w:szCs w:val="18"/>
        </w:rPr>
      </w:pPr>
      <w:r w:rsidRPr="000927A2">
        <w:rPr>
          <w:rFonts w:ascii="Arial" w:eastAsia="Trebuchet MS" w:hAnsi="Arial" w:cs="Arial"/>
          <w:sz w:val="18"/>
          <w:szCs w:val="18"/>
        </w:rPr>
        <w:t xml:space="preserve">The </w:t>
      </w:r>
      <w:r w:rsidRPr="000927A2">
        <w:rPr>
          <w:rFonts w:ascii="Arial" w:eastAsia="Trebuchet MS" w:hAnsi="Arial" w:cs="Arial"/>
          <w:i/>
          <w:sz w:val="18"/>
          <w:szCs w:val="18"/>
        </w:rPr>
        <w:t>Supporting successful transitions:  School decision- making tool</w:t>
      </w:r>
      <w:r w:rsidRPr="000927A2">
        <w:rPr>
          <w:rFonts w:ascii="Arial" w:eastAsia="Trebuchet MS" w:hAnsi="Arial" w:cs="Arial"/>
          <w:sz w:val="18"/>
          <w:szCs w:val="18"/>
        </w:rPr>
        <w:t xml:space="preserve"> recognises not only the importance of responsive environments, but the connection of the environment to other action areas. Specifically, the ways in which a responsive environment supports effective pedagogy and practice, facilitates the development of reciprocal relationships and demo</w:t>
      </w:r>
      <w:r>
        <w:rPr>
          <w:rFonts w:ascii="Arial" w:eastAsia="Trebuchet MS" w:hAnsi="Arial" w:cs="Arial"/>
          <w:sz w:val="18"/>
          <w:szCs w:val="18"/>
        </w:rPr>
        <w:t>nstrates respect for diversity.</w:t>
      </w:r>
    </w:p>
    <w:p w:rsidR="000927A2" w:rsidRDefault="000927A2" w:rsidP="000927A2">
      <w:pPr>
        <w:spacing w:before="240" w:after="240" w:line="276" w:lineRule="auto"/>
        <w:rPr>
          <w:rFonts w:ascii="Arial" w:eastAsia="Trebuchet MS" w:hAnsi="Arial" w:cs="Arial"/>
          <w:sz w:val="18"/>
          <w:szCs w:val="18"/>
        </w:rPr>
      </w:pPr>
      <w:r w:rsidRPr="000927A2">
        <w:rPr>
          <w:rFonts w:ascii="Arial" w:eastAsia="Trebuchet MS" w:hAnsi="Arial" w:cs="Arial"/>
          <w:sz w:val="18"/>
          <w:szCs w:val="18"/>
        </w:rPr>
        <w:t>Recognising this interplay between the environment, teaching and learning; it is important that the environment adapts and responds to the individual and whole class needs of children, both as they transition to school and continue to develop over the Prep Year. As a result, the environment at the beginning of the year may be very different at the end of the year.</w:t>
      </w:r>
    </w:p>
    <w:p w:rsidR="00C17211" w:rsidRPr="00CB0C73" w:rsidRDefault="00C17211" w:rsidP="00C17211">
      <w:pPr>
        <w:pStyle w:val="Heading2"/>
        <w:ind w:left="0"/>
        <w:rPr>
          <w:rFonts w:asciiTheme="majorHAnsi" w:eastAsiaTheme="majorEastAsia" w:hAnsiTheme="majorHAnsi" w:cstheme="majorBidi"/>
          <w:b/>
          <w:iCs/>
          <w:color w:val="4F81BD" w:themeColor="accent1"/>
          <w:sz w:val="26"/>
          <w:szCs w:val="26"/>
          <w:lang w:val="en-AU" w:eastAsia="zh-CN"/>
        </w:rPr>
      </w:pPr>
      <w:r w:rsidRPr="00CB0C73">
        <w:rPr>
          <w:rFonts w:asciiTheme="majorHAnsi" w:eastAsiaTheme="majorEastAsia" w:hAnsiTheme="majorHAnsi" w:cstheme="majorBidi"/>
          <w:b/>
          <w:iCs/>
          <w:color w:val="4F81BD" w:themeColor="accent1"/>
          <w:sz w:val="26"/>
          <w:szCs w:val="26"/>
          <w:lang w:val="en-AU" w:eastAsia="zh-CN"/>
        </w:rPr>
        <w:t>Policy</w:t>
      </w:r>
    </w:p>
    <w:p w:rsidR="00C17211" w:rsidRPr="00C17211" w:rsidRDefault="00C17211" w:rsidP="00C17211">
      <w:pPr>
        <w:spacing w:before="240" w:after="240" w:line="276" w:lineRule="auto"/>
        <w:rPr>
          <w:rFonts w:ascii="Arial" w:eastAsia="Trebuchet MS" w:hAnsi="Arial" w:cs="Arial"/>
          <w:sz w:val="18"/>
          <w:szCs w:val="18"/>
        </w:rPr>
      </w:pPr>
      <w:r w:rsidRPr="00C17211">
        <w:rPr>
          <w:rFonts w:ascii="Arial" w:eastAsia="Trebuchet MS" w:hAnsi="Arial" w:cs="Arial"/>
          <w:sz w:val="18"/>
          <w:szCs w:val="18"/>
        </w:rPr>
        <w:t>The department is committed to a policy of collaborative empowerment. It is important that schools are seeking out and considering the voices of children, families and teachers, to create environments that are relevant and meaningful to their interests, learning styles and abilities.</w:t>
      </w:r>
    </w:p>
    <w:p w:rsidR="00C17211" w:rsidRDefault="00C17211" w:rsidP="00C17211">
      <w:pPr>
        <w:spacing w:before="240" w:after="240" w:line="276" w:lineRule="auto"/>
        <w:rPr>
          <w:rFonts w:ascii="Arial" w:eastAsia="Trebuchet MS" w:hAnsi="Arial" w:cs="Arial"/>
          <w:sz w:val="18"/>
          <w:szCs w:val="18"/>
        </w:rPr>
      </w:pPr>
      <w:r w:rsidRPr="00C17211">
        <w:rPr>
          <w:rFonts w:ascii="Arial" w:eastAsia="Trebuchet MS" w:hAnsi="Arial" w:cs="Arial"/>
          <w:sz w:val="18"/>
          <w:szCs w:val="18"/>
        </w:rPr>
        <w:t>Inherently, this has implications for transition to school strategies. The table over page outlines a selection of key policy documents and curriculum frameworks that have been designed to support principals, teachers and educators to consider and explore different approaches to optimise the environment.</w:t>
      </w: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p w:rsidR="00C17211" w:rsidRDefault="00C17211" w:rsidP="00C17211">
      <w:pPr>
        <w:spacing w:before="240" w:after="240" w:line="276" w:lineRule="auto"/>
        <w:rPr>
          <w:rFonts w:ascii="Arial" w:eastAsia="Trebuchet MS" w:hAnsi="Arial" w:cs="Arial"/>
          <w:sz w:val="18"/>
          <w:szCs w:val="18"/>
        </w:rPr>
      </w:pPr>
    </w:p>
    <w:tbl>
      <w:tblPr>
        <w:tblW w:w="90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87"/>
        <w:gridCol w:w="4802"/>
        <w:gridCol w:w="2683"/>
      </w:tblGrid>
      <w:tr w:rsidR="00C17211" w:rsidRPr="00CB0C73" w:rsidTr="0080551B">
        <w:trPr>
          <w:trHeight w:hRule="exact" w:val="285"/>
        </w:trPr>
        <w:tc>
          <w:tcPr>
            <w:tcW w:w="1587" w:type="dxa"/>
            <w:shd w:val="clear" w:color="auto" w:fill="auto"/>
            <w:vAlign w:val="center"/>
          </w:tcPr>
          <w:p w:rsidR="00C17211" w:rsidRPr="00341877" w:rsidRDefault="00C17211" w:rsidP="0080551B">
            <w:pPr>
              <w:pStyle w:val="BodyText"/>
              <w:spacing w:line="276" w:lineRule="auto"/>
              <w:ind w:left="152" w:right="159"/>
              <w:rPr>
                <w:rFonts w:ascii="Arial" w:hAnsi="Arial" w:cs="Arial"/>
                <w:b/>
              </w:rPr>
            </w:pPr>
            <w:r w:rsidRPr="00341877">
              <w:rPr>
                <w:rFonts w:ascii="Arial" w:hAnsi="Arial" w:cs="Arial"/>
                <w:b/>
              </w:rPr>
              <w:lastRenderedPageBreak/>
              <w:t>Policy</w:t>
            </w:r>
          </w:p>
        </w:tc>
        <w:tc>
          <w:tcPr>
            <w:tcW w:w="4802" w:type="dxa"/>
            <w:shd w:val="clear" w:color="auto" w:fill="auto"/>
            <w:vAlign w:val="center"/>
          </w:tcPr>
          <w:p w:rsidR="00C17211" w:rsidRPr="00341877" w:rsidRDefault="00C17211" w:rsidP="0080551B">
            <w:pPr>
              <w:pStyle w:val="BodyText"/>
              <w:spacing w:line="276" w:lineRule="auto"/>
              <w:ind w:left="152" w:right="159"/>
              <w:rPr>
                <w:rFonts w:ascii="Arial" w:hAnsi="Arial" w:cs="Arial"/>
                <w:b/>
              </w:rPr>
            </w:pPr>
            <w:r w:rsidRPr="00341877">
              <w:rPr>
                <w:rFonts w:ascii="Arial" w:hAnsi="Arial" w:cs="Arial"/>
                <w:b/>
              </w:rPr>
              <w:t>Position statement</w:t>
            </w:r>
          </w:p>
        </w:tc>
        <w:tc>
          <w:tcPr>
            <w:tcW w:w="2683" w:type="dxa"/>
            <w:shd w:val="clear" w:color="auto" w:fill="auto"/>
            <w:vAlign w:val="center"/>
          </w:tcPr>
          <w:p w:rsidR="00C17211" w:rsidRPr="00341877" w:rsidRDefault="00C17211" w:rsidP="0080551B">
            <w:pPr>
              <w:pStyle w:val="BodyText"/>
              <w:spacing w:line="276" w:lineRule="auto"/>
              <w:ind w:left="152" w:right="159"/>
              <w:rPr>
                <w:rFonts w:ascii="Arial" w:hAnsi="Arial" w:cs="Arial"/>
                <w:b/>
              </w:rPr>
            </w:pPr>
            <w:r w:rsidRPr="00341877">
              <w:rPr>
                <w:rFonts w:ascii="Arial" w:hAnsi="Arial" w:cs="Arial"/>
                <w:b/>
              </w:rPr>
              <w:t>Where to find</w:t>
            </w:r>
          </w:p>
        </w:tc>
      </w:tr>
      <w:tr w:rsidR="00C17211" w:rsidRPr="00CB0C73" w:rsidTr="0080551B">
        <w:trPr>
          <w:trHeight w:val="1571"/>
        </w:trPr>
        <w:tc>
          <w:tcPr>
            <w:tcW w:w="1587"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National school improvement tool (2016)</w:t>
            </w:r>
          </w:p>
        </w:tc>
        <w:tc>
          <w:tcPr>
            <w:tcW w:w="4802"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tc>
        <w:tc>
          <w:tcPr>
            <w:tcW w:w="2683" w:type="dxa"/>
            <w:shd w:val="clear" w:color="auto" w:fill="auto"/>
          </w:tcPr>
          <w:p w:rsidR="00C17211" w:rsidRPr="00C17211" w:rsidRDefault="00AA2287" w:rsidP="0080551B">
            <w:pPr>
              <w:pStyle w:val="BodyText"/>
              <w:spacing w:line="276" w:lineRule="auto"/>
              <w:ind w:left="152" w:right="159"/>
              <w:rPr>
                <w:rFonts w:ascii="Arial" w:hAnsi="Arial" w:cs="Arial"/>
                <w:color w:val="0095DA"/>
              </w:rPr>
            </w:pPr>
            <w:hyperlink r:id="rId6">
              <w:r w:rsidR="00C17211" w:rsidRPr="00C17211">
                <w:rPr>
                  <w:rFonts w:ascii="Arial" w:hAnsi="Arial" w:cs="Arial"/>
                  <w:color w:val="0095DA"/>
                </w:rPr>
                <w:t>https://www.acer.edu.au/</w:t>
              </w:r>
            </w:hyperlink>
            <w:r w:rsidR="00C17211" w:rsidRPr="00C17211">
              <w:rPr>
                <w:rFonts w:ascii="Arial" w:hAnsi="Arial" w:cs="Arial"/>
                <w:color w:val="0095DA"/>
              </w:rPr>
              <w:t xml:space="preserve"> </w:t>
            </w:r>
            <w:hyperlink r:id="rId7">
              <w:r w:rsidR="00C17211" w:rsidRPr="00C17211">
                <w:rPr>
                  <w:rFonts w:ascii="Arial" w:hAnsi="Arial" w:cs="Arial"/>
                  <w:color w:val="0095DA"/>
                </w:rPr>
                <w:t>files/NSIT_3rd_domain.pdf</w:t>
              </w:r>
            </w:hyperlink>
          </w:p>
        </w:tc>
      </w:tr>
      <w:tr w:rsidR="00C17211" w:rsidRPr="00CB0C73" w:rsidTr="0080551B">
        <w:trPr>
          <w:trHeight w:val="1208"/>
        </w:trPr>
        <w:tc>
          <w:tcPr>
            <w:tcW w:w="1587"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Learning and wellbeing framework (2015)</w:t>
            </w:r>
          </w:p>
        </w:tc>
        <w:tc>
          <w:tcPr>
            <w:tcW w:w="4802"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‘The core business of schools is to provide students with a rich learning environment that is open, respectful, caring and safe. This ideal learning environment optimises wellbeing. It reflects a positive school ethos that makes the school an exciting, stimulating and welcoming place.’</w:t>
            </w:r>
          </w:p>
        </w:tc>
        <w:tc>
          <w:tcPr>
            <w:tcW w:w="2683" w:type="dxa"/>
            <w:shd w:val="clear" w:color="auto" w:fill="auto"/>
          </w:tcPr>
          <w:p w:rsidR="00C17211" w:rsidRPr="00C17211" w:rsidRDefault="00AA2287" w:rsidP="0080551B">
            <w:pPr>
              <w:pStyle w:val="BodyText"/>
              <w:spacing w:line="276" w:lineRule="auto"/>
              <w:ind w:left="152" w:right="159"/>
              <w:rPr>
                <w:rFonts w:ascii="Arial" w:hAnsi="Arial" w:cs="Arial"/>
                <w:color w:val="0095DA"/>
              </w:rPr>
            </w:pPr>
            <w:hyperlink r:id="rId8">
              <w:r w:rsidR="00C17211" w:rsidRPr="00C17211">
                <w:rPr>
                  <w:rFonts w:ascii="Arial" w:hAnsi="Arial" w:cs="Arial"/>
                  <w:color w:val="0095DA"/>
                </w:rPr>
                <w:t>http://deta.qld.</w:t>
              </w:r>
            </w:hyperlink>
            <w:r w:rsidR="00C17211" w:rsidRPr="00C17211">
              <w:rPr>
                <w:rFonts w:ascii="Arial" w:hAnsi="Arial" w:cs="Arial"/>
                <w:color w:val="0095DA"/>
              </w:rPr>
              <w:t xml:space="preserve"> </w:t>
            </w:r>
            <w:hyperlink r:id="rId9">
              <w:r w:rsidR="00C17211" w:rsidRPr="00C17211">
                <w:rPr>
                  <w:rFonts w:ascii="Arial" w:hAnsi="Arial" w:cs="Arial"/>
                  <w:color w:val="0095DA"/>
                </w:rPr>
                <w:t>gov.au/initiatives/</w:t>
              </w:r>
            </w:hyperlink>
            <w:r w:rsidR="00C17211" w:rsidRPr="00C17211">
              <w:rPr>
                <w:rFonts w:ascii="Arial" w:hAnsi="Arial" w:cs="Arial"/>
                <w:color w:val="0095DA"/>
              </w:rPr>
              <w:t xml:space="preserve"> </w:t>
            </w:r>
            <w:hyperlink r:id="rId10">
              <w:r w:rsidR="00C17211" w:rsidRPr="00C17211">
                <w:rPr>
                  <w:rFonts w:ascii="Arial" w:hAnsi="Arial" w:cs="Arial"/>
                  <w:color w:val="0095DA"/>
                </w:rPr>
                <w:t>learningandwellbeing/</w:t>
              </w:r>
            </w:hyperlink>
            <w:r w:rsidR="00C17211" w:rsidRPr="00C17211">
              <w:rPr>
                <w:rFonts w:ascii="Arial" w:hAnsi="Arial" w:cs="Arial"/>
                <w:color w:val="0095DA"/>
              </w:rPr>
              <w:t xml:space="preserve"> </w:t>
            </w:r>
            <w:hyperlink r:id="rId11">
              <w:r w:rsidR="00C17211" w:rsidRPr="00C17211">
                <w:rPr>
                  <w:rFonts w:ascii="Arial" w:hAnsi="Arial" w:cs="Arial"/>
                  <w:color w:val="0095DA"/>
                </w:rPr>
                <w:t>resources/learning-and-</w:t>
              </w:r>
            </w:hyperlink>
            <w:r w:rsidR="00C17211" w:rsidRPr="00C17211">
              <w:rPr>
                <w:rFonts w:ascii="Arial" w:hAnsi="Arial" w:cs="Arial"/>
                <w:color w:val="0095DA"/>
              </w:rPr>
              <w:t xml:space="preserve"> </w:t>
            </w:r>
            <w:hyperlink r:id="rId12">
              <w:r w:rsidR="00C17211" w:rsidRPr="00C17211">
                <w:rPr>
                  <w:rFonts w:ascii="Arial" w:hAnsi="Arial" w:cs="Arial"/>
                  <w:color w:val="0095DA"/>
                </w:rPr>
                <w:t>wellbeing-framework.pdf</w:t>
              </w:r>
            </w:hyperlink>
          </w:p>
        </w:tc>
      </w:tr>
      <w:tr w:rsidR="00C17211" w:rsidRPr="00CB0C73" w:rsidTr="00C17211">
        <w:trPr>
          <w:trHeight w:val="1390"/>
        </w:trPr>
        <w:tc>
          <w:tcPr>
            <w:tcW w:w="1587"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Parent and community engagement framework (2014)</w:t>
            </w:r>
          </w:p>
        </w:tc>
        <w:tc>
          <w:tcPr>
            <w:tcW w:w="4802"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‘Learning is not limited to the classroom. The beliefs, expectations and experience of parents are a powerful determinant in student’s achievement. Understanding the school, home and community contribution to student learning helps cultivate a holistic learning environment.’</w:t>
            </w:r>
          </w:p>
        </w:tc>
        <w:tc>
          <w:tcPr>
            <w:tcW w:w="2683" w:type="dxa"/>
            <w:shd w:val="clear" w:color="auto" w:fill="auto"/>
          </w:tcPr>
          <w:p w:rsidR="00C17211" w:rsidRPr="00C17211" w:rsidRDefault="00AA2287" w:rsidP="0080551B">
            <w:pPr>
              <w:pStyle w:val="BodyText"/>
              <w:spacing w:line="276" w:lineRule="auto"/>
              <w:ind w:left="152" w:right="159"/>
              <w:rPr>
                <w:rFonts w:ascii="Arial" w:hAnsi="Arial" w:cs="Arial"/>
                <w:color w:val="0095DA"/>
              </w:rPr>
            </w:pPr>
            <w:hyperlink r:id="rId13">
              <w:r w:rsidR="00C17211" w:rsidRPr="00C17211">
                <w:rPr>
                  <w:rFonts w:ascii="Arial" w:hAnsi="Arial" w:cs="Arial"/>
                  <w:color w:val="0095DA"/>
                </w:rPr>
                <w:t>http://education.qld.</w:t>
              </w:r>
            </w:hyperlink>
            <w:r w:rsidR="00C17211" w:rsidRPr="00C17211">
              <w:rPr>
                <w:rFonts w:ascii="Arial" w:hAnsi="Arial" w:cs="Arial"/>
                <w:color w:val="0095DA"/>
              </w:rPr>
              <w:t xml:space="preserve"> </w:t>
            </w:r>
            <w:hyperlink r:id="rId14">
              <w:r w:rsidR="00C17211" w:rsidRPr="00C17211">
                <w:rPr>
                  <w:rFonts w:ascii="Arial" w:hAnsi="Arial" w:cs="Arial"/>
                  <w:color w:val="0095DA"/>
                </w:rPr>
                <w:t>gov.au/schools/parent-</w:t>
              </w:r>
            </w:hyperlink>
            <w:r w:rsidR="00C17211" w:rsidRPr="00C17211">
              <w:rPr>
                <w:rFonts w:ascii="Arial" w:hAnsi="Arial" w:cs="Arial"/>
                <w:color w:val="0095DA"/>
              </w:rPr>
              <w:t xml:space="preserve"> </w:t>
            </w:r>
            <w:hyperlink r:id="rId15">
              <w:r w:rsidR="00C17211" w:rsidRPr="00C17211">
                <w:rPr>
                  <w:rFonts w:ascii="Arial" w:hAnsi="Arial" w:cs="Arial"/>
                  <w:color w:val="0095DA"/>
                </w:rPr>
                <w:t>community-engagement-</w:t>
              </w:r>
            </w:hyperlink>
            <w:r w:rsidR="00C17211" w:rsidRPr="00C17211">
              <w:rPr>
                <w:rFonts w:ascii="Arial" w:hAnsi="Arial" w:cs="Arial"/>
                <w:color w:val="0095DA"/>
              </w:rPr>
              <w:t xml:space="preserve"> </w:t>
            </w:r>
            <w:hyperlink r:id="rId16">
              <w:r w:rsidR="00C17211" w:rsidRPr="00C17211">
                <w:rPr>
                  <w:rFonts w:ascii="Arial" w:hAnsi="Arial" w:cs="Arial"/>
                  <w:color w:val="0095DA"/>
                </w:rPr>
                <w:t>framework/resources/</w:t>
              </w:r>
            </w:hyperlink>
            <w:r w:rsidR="00C17211" w:rsidRPr="00C17211">
              <w:rPr>
                <w:rFonts w:ascii="Arial" w:hAnsi="Arial" w:cs="Arial"/>
                <w:color w:val="0095DA"/>
              </w:rPr>
              <w:t xml:space="preserve"> </w:t>
            </w:r>
            <w:hyperlink r:id="rId17">
              <w:r w:rsidR="00C17211" w:rsidRPr="00C17211">
                <w:rPr>
                  <w:rFonts w:ascii="Arial" w:hAnsi="Arial" w:cs="Arial"/>
                  <w:color w:val="0095DA"/>
                </w:rPr>
                <w:t>pdf/parent-community-</w:t>
              </w:r>
            </w:hyperlink>
            <w:r w:rsidR="00C17211" w:rsidRPr="00C17211">
              <w:rPr>
                <w:rFonts w:ascii="Arial" w:hAnsi="Arial" w:cs="Arial"/>
                <w:color w:val="0095DA"/>
              </w:rPr>
              <w:t xml:space="preserve"> </w:t>
            </w:r>
            <w:hyperlink r:id="rId18">
              <w:r w:rsidR="00C17211" w:rsidRPr="00C17211">
                <w:rPr>
                  <w:rFonts w:ascii="Arial" w:hAnsi="Arial" w:cs="Arial"/>
                  <w:color w:val="0095DA"/>
                </w:rPr>
                <w:t>engagement-framework.pdf</w:t>
              </w:r>
            </w:hyperlink>
          </w:p>
        </w:tc>
      </w:tr>
      <w:tr w:rsidR="00C17211" w:rsidRPr="00CB0C73" w:rsidTr="00C17211">
        <w:trPr>
          <w:trHeight w:val="1935"/>
        </w:trPr>
        <w:tc>
          <w:tcPr>
            <w:tcW w:w="1587"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Early Years Learning Framework (2009)</w:t>
            </w:r>
          </w:p>
        </w:tc>
        <w:tc>
          <w:tcPr>
            <w:tcW w:w="4802"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‘In a supportive active learning environment, children who are confident and involved learners are increasingly able to take responsibility for their own learning, personal regulation and contribution to the social environment. Connections and continuity between learning experiences in different settings make learning more meaningful and increase children’s feelings of belonging.’</w:t>
            </w:r>
          </w:p>
        </w:tc>
        <w:tc>
          <w:tcPr>
            <w:tcW w:w="2683" w:type="dxa"/>
            <w:shd w:val="clear" w:color="auto" w:fill="auto"/>
          </w:tcPr>
          <w:p w:rsidR="00C17211" w:rsidRPr="00C17211" w:rsidRDefault="00C17211" w:rsidP="0080551B">
            <w:pPr>
              <w:pStyle w:val="BodyText"/>
              <w:spacing w:line="276" w:lineRule="auto"/>
              <w:ind w:left="152" w:right="159"/>
              <w:rPr>
                <w:rFonts w:ascii="Arial" w:hAnsi="Arial" w:cs="Arial"/>
                <w:color w:val="0095DA"/>
              </w:rPr>
            </w:pPr>
            <w:r w:rsidRPr="00C17211">
              <w:rPr>
                <w:rFonts w:ascii="Arial" w:hAnsi="Arial" w:cs="Arial"/>
                <w:color w:val="0095DA"/>
              </w:rPr>
              <w:t>https://docs.education. gov.au/system/files/doc/ other/belonging_being_ and_becoming_the_early_ years_learning_framework_ for_australia.pdf</w:t>
            </w:r>
          </w:p>
        </w:tc>
      </w:tr>
      <w:tr w:rsidR="00C17211" w:rsidRPr="00C17211" w:rsidTr="00C17211">
        <w:trPr>
          <w:trHeight w:val="1821"/>
        </w:trPr>
        <w:tc>
          <w:tcPr>
            <w:tcW w:w="1587" w:type="dxa"/>
            <w:shd w:val="clear" w:color="auto" w:fill="auto"/>
          </w:tcPr>
          <w:p w:rsidR="00C17211" w:rsidRPr="00C17211" w:rsidRDefault="00C17211" w:rsidP="00C17211">
            <w:pPr>
              <w:pStyle w:val="BodyText"/>
              <w:spacing w:line="276" w:lineRule="auto"/>
              <w:ind w:left="152" w:right="159"/>
              <w:rPr>
                <w:rFonts w:ascii="Arial" w:hAnsi="Arial" w:cs="Arial"/>
              </w:rPr>
            </w:pPr>
            <w:r w:rsidRPr="00C17211">
              <w:rPr>
                <w:rFonts w:ascii="Arial" w:hAnsi="Arial" w:cs="Arial"/>
              </w:rPr>
              <w:t>Melbourne Declaration on Educational</w:t>
            </w:r>
          </w:p>
          <w:p w:rsidR="00C17211" w:rsidRPr="00341877" w:rsidRDefault="00C17211" w:rsidP="00C17211">
            <w:pPr>
              <w:pStyle w:val="BodyText"/>
              <w:spacing w:line="276" w:lineRule="auto"/>
              <w:ind w:left="152" w:right="159"/>
              <w:rPr>
                <w:rFonts w:ascii="Arial" w:hAnsi="Arial" w:cs="Arial"/>
              </w:rPr>
            </w:pPr>
            <w:r w:rsidRPr="00C17211">
              <w:rPr>
                <w:rFonts w:ascii="Arial" w:hAnsi="Arial" w:cs="Arial"/>
              </w:rPr>
              <w:t>Goals for Young Australians (2008)</w:t>
            </w:r>
          </w:p>
        </w:tc>
        <w:tc>
          <w:tcPr>
            <w:tcW w:w="4802" w:type="dxa"/>
            <w:shd w:val="clear" w:color="auto" w:fill="auto"/>
          </w:tcPr>
          <w:p w:rsidR="00C17211" w:rsidRPr="00341877" w:rsidRDefault="00C17211" w:rsidP="0080551B">
            <w:pPr>
              <w:pStyle w:val="BodyText"/>
              <w:spacing w:line="276" w:lineRule="auto"/>
              <w:ind w:left="152" w:right="159"/>
              <w:rPr>
                <w:rFonts w:ascii="Arial" w:hAnsi="Arial" w:cs="Arial"/>
              </w:rPr>
            </w:pPr>
            <w:r w:rsidRPr="00C17211">
              <w:rPr>
                <w:rFonts w:ascii="Arial" w:hAnsi="Arial" w:cs="Arial"/>
              </w:rPr>
              <w:t>‘School principals and other school leaders play a critical role in supporting and fostering quality teaching through coaching and mentoring teachers to find the best ways to facilitate learning, and by promoting a culture of high expectations in schools. School leaders are responsible for creating and sustaining the learning environment and the conditions under which quality teaching and learning take place.’</w:t>
            </w:r>
          </w:p>
        </w:tc>
        <w:tc>
          <w:tcPr>
            <w:tcW w:w="2683" w:type="dxa"/>
            <w:shd w:val="clear" w:color="auto" w:fill="auto"/>
          </w:tcPr>
          <w:p w:rsidR="00C17211" w:rsidRPr="00C17211" w:rsidRDefault="00C17211" w:rsidP="0080551B">
            <w:pPr>
              <w:pStyle w:val="BodyText"/>
              <w:ind w:left="142"/>
              <w:rPr>
                <w:rFonts w:ascii="Arial" w:hAnsi="Arial" w:cs="Arial"/>
                <w:color w:val="0095DA"/>
              </w:rPr>
            </w:pPr>
            <w:r w:rsidRPr="00C17211">
              <w:rPr>
                <w:rFonts w:ascii="Arial" w:hAnsi="Arial" w:cs="Arial"/>
                <w:color w:val="0095DA"/>
              </w:rPr>
              <w:t>http://www.curriculum. edu.au/verve/_resources/ National_Declaration_on_ the_Educational_Goals_ for_Young_Australians.pdf</w:t>
            </w:r>
          </w:p>
        </w:tc>
      </w:tr>
    </w:tbl>
    <w:p w:rsidR="00C17211" w:rsidRPr="00341877" w:rsidRDefault="00C17211" w:rsidP="00C17211">
      <w:pPr>
        <w:pStyle w:val="Heading2"/>
        <w:spacing w:before="240" w:after="240" w:line="276" w:lineRule="auto"/>
        <w:ind w:left="0"/>
        <w:rPr>
          <w:rFonts w:asciiTheme="majorHAnsi" w:eastAsiaTheme="majorEastAsia" w:hAnsiTheme="majorHAnsi" w:cstheme="majorBidi"/>
          <w:b/>
          <w:iCs/>
          <w:color w:val="4F81BD" w:themeColor="accent1"/>
          <w:sz w:val="26"/>
          <w:szCs w:val="26"/>
          <w:lang w:val="en-AU" w:eastAsia="zh-CN"/>
        </w:rPr>
      </w:pPr>
      <w:r w:rsidRPr="00341877">
        <w:rPr>
          <w:rFonts w:asciiTheme="majorHAnsi" w:eastAsiaTheme="majorEastAsia" w:hAnsiTheme="majorHAnsi" w:cstheme="majorBidi"/>
          <w:b/>
          <w:iCs/>
          <w:color w:val="4F81BD" w:themeColor="accent1"/>
          <w:sz w:val="26"/>
          <w:szCs w:val="26"/>
          <w:lang w:val="en-AU" w:eastAsia="zh-CN"/>
        </w:rPr>
        <w:t>Research into practice</w:t>
      </w:r>
    </w:p>
    <w:p w:rsidR="00C17211" w:rsidRPr="00C17211" w:rsidRDefault="00C17211" w:rsidP="00C17211">
      <w:pPr>
        <w:spacing w:before="240" w:after="240" w:line="276" w:lineRule="auto"/>
        <w:rPr>
          <w:rFonts w:ascii="Arial" w:hAnsi="Arial" w:cs="Arial"/>
        </w:rPr>
      </w:pPr>
      <w:r w:rsidRPr="00C17211">
        <w:rPr>
          <w:rFonts w:ascii="Arial" w:hAnsi="Arial" w:cs="Arial"/>
        </w:rPr>
        <w:t>We know that in relation to transition to school, it is important to consider continuity of learning. Research highlights that in the area of responsive environments, continuity can be enhanced by careful attention to observat</w:t>
      </w:r>
      <w:r>
        <w:rPr>
          <w:rFonts w:ascii="Arial" w:hAnsi="Arial" w:cs="Arial"/>
        </w:rPr>
        <w:t xml:space="preserve">ion and assessment of children. </w:t>
      </w:r>
      <w:r w:rsidRPr="00C17211">
        <w:rPr>
          <w:rFonts w:ascii="Arial" w:hAnsi="Arial" w:cs="Arial"/>
        </w:rPr>
        <w:t>Identifying and being responsive to the needs of children, in terms of physical, social, temporal and procedural environments, will enhance the motivation, engagement and ultimately the achievement standards of the children.</w:t>
      </w:r>
    </w:p>
    <w:p w:rsidR="00C17211" w:rsidRPr="00C17211" w:rsidRDefault="00C17211" w:rsidP="00C17211">
      <w:pPr>
        <w:spacing w:before="240" w:after="240" w:line="276" w:lineRule="auto"/>
        <w:rPr>
          <w:rFonts w:ascii="Arial" w:hAnsi="Arial" w:cs="Arial"/>
        </w:rPr>
      </w:pPr>
      <w:r w:rsidRPr="00C17211">
        <w:rPr>
          <w:rFonts w:ascii="Arial" w:hAnsi="Arial" w:cs="Arial"/>
        </w:rPr>
        <w:t>Here are a few starting ideas to support your school to foster a responsive environment:</w:t>
      </w:r>
    </w:p>
    <w:p w:rsidR="00C17211" w:rsidRPr="00C17211" w:rsidRDefault="00C17211" w:rsidP="00C17211">
      <w:pPr>
        <w:pStyle w:val="ListParagraph"/>
        <w:numPr>
          <w:ilvl w:val="0"/>
          <w:numId w:val="1"/>
        </w:numPr>
        <w:spacing w:before="240" w:after="240" w:line="276" w:lineRule="auto"/>
        <w:rPr>
          <w:rFonts w:ascii="Arial" w:hAnsi="Arial" w:cs="Arial"/>
        </w:rPr>
      </w:pPr>
      <w:r w:rsidRPr="00C17211">
        <w:rPr>
          <w:rFonts w:ascii="Arial" w:hAnsi="Arial" w:cs="Arial"/>
        </w:rPr>
        <w:t>Examine your goals and values collaboratively as a staff, leadership group and school community to come up with a shared vision that is reflective of the perspectives representative of your community.</w:t>
      </w:r>
    </w:p>
    <w:p w:rsidR="00C17211" w:rsidRPr="00C17211" w:rsidRDefault="00C17211" w:rsidP="00C17211">
      <w:pPr>
        <w:pStyle w:val="ListParagraph"/>
        <w:numPr>
          <w:ilvl w:val="0"/>
          <w:numId w:val="1"/>
        </w:numPr>
        <w:spacing w:before="240" w:after="240" w:line="276" w:lineRule="auto"/>
        <w:rPr>
          <w:rFonts w:ascii="Arial" w:hAnsi="Arial" w:cs="Arial"/>
        </w:rPr>
      </w:pPr>
      <w:r w:rsidRPr="00C17211">
        <w:rPr>
          <w:rFonts w:ascii="Arial" w:hAnsi="Arial" w:cs="Arial"/>
        </w:rPr>
        <w:lastRenderedPageBreak/>
        <w:t>Work together with your transition partners to develop a responsive environment, building a sense of ownership.</w:t>
      </w:r>
    </w:p>
    <w:p w:rsidR="00C17211" w:rsidRPr="00C17211" w:rsidRDefault="00C17211" w:rsidP="00C17211">
      <w:pPr>
        <w:pStyle w:val="ListParagraph"/>
        <w:numPr>
          <w:ilvl w:val="0"/>
          <w:numId w:val="1"/>
        </w:numPr>
        <w:spacing w:before="240" w:after="240" w:line="276" w:lineRule="auto"/>
        <w:rPr>
          <w:rFonts w:ascii="Arial" w:hAnsi="Arial" w:cs="Arial"/>
        </w:rPr>
      </w:pPr>
      <w:r w:rsidRPr="00C17211">
        <w:rPr>
          <w:rFonts w:ascii="Arial" w:hAnsi="Arial" w:cs="Arial"/>
        </w:rPr>
        <w:t>Use the Early years learning spaces tool to reflect on the form, function and aesthetics of early years learning spaces.</w:t>
      </w:r>
    </w:p>
    <w:p w:rsidR="00C17211" w:rsidRPr="00C17211" w:rsidRDefault="00C17211" w:rsidP="00C17211">
      <w:pPr>
        <w:pStyle w:val="ListParagraph"/>
        <w:numPr>
          <w:ilvl w:val="0"/>
          <w:numId w:val="1"/>
        </w:numPr>
        <w:spacing w:before="240" w:after="240" w:line="276" w:lineRule="auto"/>
        <w:rPr>
          <w:rFonts w:ascii="Arial" w:hAnsi="Arial" w:cs="Arial"/>
        </w:rPr>
      </w:pPr>
      <w:r w:rsidRPr="00C17211">
        <w:rPr>
          <w:rFonts w:ascii="Arial" w:hAnsi="Arial" w:cs="Arial"/>
        </w:rPr>
        <w:t>Adapt your plans and make changes as needed, to be responsive to the transition partners.</w:t>
      </w:r>
    </w:p>
    <w:p w:rsidR="00C17211" w:rsidRDefault="00C17211" w:rsidP="00C17211">
      <w:pPr>
        <w:pStyle w:val="ListParagraph"/>
        <w:numPr>
          <w:ilvl w:val="0"/>
          <w:numId w:val="1"/>
        </w:numPr>
        <w:spacing w:before="240" w:after="240" w:line="276" w:lineRule="auto"/>
        <w:rPr>
          <w:rFonts w:ascii="Arial" w:hAnsi="Arial" w:cs="Arial"/>
        </w:rPr>
      </w:pPr>
      <w:r w:rsidRPr="00C17211">
        <w:rPr>
          <w:rFonts w:ascii="Arial" w:hAnsi="Arial" w:cs="Arial"/>
        </w:rPr>
        <w:t>Use the matrix (pages 11 – 13) in the Supporting successful transitions: School decision-making tool to reflect on whether your transition-to-school strategies are school-centred, consultative or collaborative.</w:t>
      </w:r>
    </w:p>
    <w:p w:rsidR="00C17211" w:rsidRPr="00341877" w:rsidRDefault="00C17211" w:rsidP="00C17211">
      <w:pPr>
        <w:pStyle w:val="BodyText"/>
        <w:spacing w:before="240" w:after="240" w:line="276" w:lineRule="auto"/>
        <w:ind w:left="0"/>
        <w:rPr>
          <w:rFonts w:asciiTheme="majorHAnsi" w:eastAsiaTheme="majorEastAsia" w:hAnsiTheme="majorHAnsi" w:cstheme="majorBidi"/>
          <w:b/>
          <w:iCs/>
          <w:color w:val="4F81BD" w:themeColor="accent1"/>
          <w:sz w:val="26"/>
          <w:szCs w:val="26"/>
          <w:lang w:val="en-AU" w:eastAsia="zh-CN"/>
        </w:rPr>
      </w:pPr>
      <w:r w:rsidRPr="00341877">
        <w:rPr>
          <w:rFonts w:asciiTheme="majorHAnsi" w:eastAsiaTheme="majorEastAsia" w:hAnsiTheme="majorHAnsi" w:cstheme="majorBidi"/>
          <w:b/>
          <w:iCs/>
          <w:color w:val="4F81BD" w:themeColor="accent1"/>
          <w:sz w:val="26"/>
          <w:szCs w:val="26"/>
          <w:lang w:val="en-AU" w:eastAsia="zh-CN"/>
        </w:rPr>
        <w:t>More support</w:t>
      </w:r>
    </w:p>
    <w:p w:rsidR="00C17211" w:rsidRPr="00C17211" w:rsidRDefault="00C17211" w:rsidP="00C17211">
      <w:pPr>
        <w:spacing w:before="240" w:after="240" w:line="276" w:lineRule="auto"/>
        <w:rPr>
          <w:rFonts w:ascii="Arial" w:hAnsi="Arial" w:cs="Arial"/>
        </w:rPr>
      </w:pPr>
      <w:r w:rsidRPr="00C17211">
        <w:rPr>
          <w:rFonts w:ascii="Arial" w:hAnsi="Arial" w:cs="Arial"/>
        </w:rPr>
        <w:t xml:space="preserve">For contact details for your region’s Transition Officers and Partnerships and Innovation Officers visit: </w:t>
      </w:r>
      <w:hyperlink r:id="rId19" w:history="1">
        <w:r w:rsidRPr="00910B16">
          <w:rPr>
            <w:rStyle w:val="Hyperlink"/>
            <w:rFonts w:ascii="Arial" w:hAnsi="Arial" w:cs="Arial"/>
          </w:rPr>
          <w:t>https://oneportal.deta.qld.gov.au/earlychildhood/forschools/Pages/Transitiontoschoolsupportcontacts.aspx</w:t>
        </w:r>
      </w:hyperlink>
      <w:r>
        <w:rPr>
          <w:rFonts w:ascii="Arial" w:hAnsi="Arial" w:cs="Arial"/>
        </w:rPr>
        <w:t xml:space="preserve"> </w:t>
      </w:r>
    </w:p>
    <w:p w:rsidR="00C17211" w:rsidRDefault="00C17211" w:rsidP="00C17211">
      <w:pPr>
        <w:spacing w:before="240" w:after="240" w:line="276" w:lineRule="auto"/>
        <w:rPr>
          <w:rFonts w:ascii="Arial" w:hAnsi="Arial" w:cs="Arial"/>
        </w:rPr>
      </w:pPr>
      <w:r w:rsidRPr="00C17211">
        <w:rPr>
          <w:rFonts w:ascii="Arial" w:hAnsi="Arial" w:cs="Arial"/>
        </w:rPr>
        <w:t xml:space="preserve">For more information and resources on </w:t>
      </w:r>
      <w:proofErr w:type="gramStart"/>
      <w:r w:rsidRPr="00955FE3">
        <w:rPr>
          <w:rFonts w:ascii="Arial" w:hAnsi="Arial" w:cs="Arial"/>
          <w:i/>
        </w:rPr>
        <w:t>Supporting</w:t>
      </w:r>
      <w:proofErr w:type="gramEnd"/>
      <w:r w:rsidRPr="00955FE3">
        <w:rPr>
          <w:rFonts w:ascii="Arial" w:hAnsi="Arial" w:cs="Arial"/>
          <w:i/>
        </w:rPr>
        <w:t xml:space="preserve"> successful transitions</w:t>
      </w:r>
      <w:r w:rsidRPr="00C17211">
        <w:rPr>
          <w:rFonts w:ascii="Arial" w:hAnsi="Arial" w:cs="Arial"/>
        </w:rPr>
        <w:t xml:space="preserve"> visit: </w:t>
      </w:r>
      <w:hyperlink r:id="rId20" w:history="1">
        <w:r w:rsidR="00955FE3" w:rsidRPr="00910B16">
          <w:rPr>
            <w:rStyle w:val="Hyperlink"/>
            <w:rFonts w:ascii="Arial" w:hAnsi="Arial" w:cs="Arial"/>
          </w:rPr>
          <w:t>www.qld.gov.au/transitiontoschool</w:t>
        </w:r>
      </w:hyperlink>
      <w:r w:rsidR="00955FE3">
        <w:rPr>
          <w:rFonts w:ascii="Arial" w:hAnsi="Arial" w:cs="Arial"/>
        </w:rPr>
        <w:t xml:space="preserve"> </w:t>
      </w:r>
    </w:p>
    <w:p w:rsidR="00955FE3" w:rsidRDefault="00955FE3" w:rsidP="00955FE3">
      <w:pPr>
        <w:pStyle w:val="BodyText"/>
        <w:spacing w:before="240" w:after="240" w:line="276" w:lineRule="auto"/>
        <w:ind w:left="0"/>
        <w:rPr>
          <w:rFonts w:asciiTheme="majorHAnsi" w:eastAsiaTheme="majorEastAsia" w:hAnsiTheme="majorHAnsi" w:cstheme="majorBidi"/>
          <w:b/>
          <w:iCs/>
          <w:color w:val="4F81BD" w:themeColor="accent1"/>
          <w:sz w:val="26"/>
          <w:szCs w:val="26"/>
          <w:lang w:val="en-AU" w:eastAsia="zh-CN"/>
        </w:rPr>
      </w:pPr>
      <w:r>
        <w:rPr>
          <w:rFonts w:asciiTheme="majorHAnsi" w:eastAsiaTheme="majorEastAsia" w:hAnsiTheme="majorHAnsi" w:cstheme="majorBidi"/>
          <w:b/>
          <w:iCs/>
          <w:color w:val="4F81BD" w:themeColor="accent1"/>
          <w:sz w:val="26"/>
          <w:szCs w:val="26"/>
          <w:lang w:val="en-AU" w:eastAsia="zh-CN"/>
        </w:rPr>
        <w:t>References</w:t>
      </w:r>
    </w:p>
    <w:p w:rsidR="00955FE3" w:rsidRDefault="00955FE3" w:rsidP="00955FE3">
      <w:pPr>
        <w:pStyle w:val="BodyText"/>
        <w:spacing w:before="240" w:after="240" w:line="276" w:lineRule="auto"/>
        <w:ind w:left="0"/>
        <w:rPr>
          <w:rFonts w:ascii="Arial" w:eastAsiaTheme="minorHAnsi" w:hAnsi="Arial" w:cs="Arial"/>
          <w:sz w:val="22"/>
          <w:szCs w:val="22"/>
        </w:rPr>
      </w:pPr>
      <w:r w:rsidRPr="00955FE3">
        <w:rPr>
          <w:rFonts w:ascii="Arial" w:eastAsiaTheme="minorHAnsi" w:hAnsi="Arial" w:cs="Arial"/>
          <w:sz w:val="22"/>
          <w:szCs w:val="22"/>
        </w:rPr>
        <w:t>Berris, R and Miller, E. (2011). How design of the physical environment impacts early learning: Educators and parents perspectives. Australasian Journal of Early Childhood, 36(4).</w:t>
      </w:r>
    </w:p>
    <w:p w:rsidR="00955FE3" w:rsidRPr="00955FE3" w:rsidRDefault="00955FE3" w:rsidP="00955FE3">
      <w:pPr>
        <w:pStyle w:val="BodyText"/>
        <w:spacing w:before="240" w:after="240" w:line="276" w:lineRule="auto"/>
        <w:ind w:left="0"/>
        <w:rPr>
          <w:rFonts w:ascii="Arial" w:eastAsiaTheme="minorHAnsi" w:hAnsi="Arial" w:cs="Arial"/>
          <w:sz w:val="22"/>
          <w:szCs w:val="22"/>
        </w:rPr>
      </w:pPr>
    </w:p>
    <w:p w:rsidR="00955FE3" w:rsidRPr="00C17211" w:rsidRDefault="00955FE3" w:rsidP="00C17211">
      <w:pPr>
        <w:spacing w:before="240" w:after="240" w:line="276" w:lineRule="auto"/>
        <w:rPr>
          <w:rFonts w:ascii="Arial" w:hAnsi="Arial" w:cs="Arial"/>
        </w:rPr>
      </w:pPr>
      <w:r w:rsidRPr="00955FE3">
        <w:rPr>
          <w:rFonts w:ascii="Arial" w:hAnsi="Arial" w:cs="Arial"/>
        </w:rPr>
        <w:t>Information correct at time of publication, February 2017. Photography: Tony Phillips.</w:t>
      </w:r>
    </w:p>
    <w:sectPr w:rsidR="00955FE3" w:rsidRPr="00C17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6751"/>
    <w:multiLevelType w:val="hybridMultilevel"/>
    <w:tmpl w:val="B4A2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A2"/>
    <w:rsid w:val="000927A2"/>
    <w:rsid w:val="005F5D72"/>
    <w:rsid w:val="00955FE3"/>
    <w:rsid w:val="00AA2287"/>
    <w:rsid w:val="00C172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7A2"/>
    <w:pPr>
      <w:widowControl w:val="0"/>
      <w:spacing w:after="0" w:line="240" w:lineRule="auto"/>
    </w:pPr>
    <w:rPr>
      <w:rFonts w:eastAsiaTheme="minorHAnsi"/>
      <w:lang w:val="en-US" w:eastAsia="en-US"/>
    </w:rPr>
  </w:style>
  <w:style w:type="paragraph" w:styleId="Heading2">
    <w:name w:val="heading 2"/>
    <w:basedOn w:val="Normal"/>
    <w:link w:val="Heading2Char"/>
    <w:uiPriority w:val="1"/>
    <w:qFormat/>
    <w:rsid w:val="000927A2"/>
    <w:pPr>
      <w:ind w:left="793"/>
      <w:outlineLvl w:val="1"/>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27A2"/>
    <w:rPr>
      <w:rFonts w:ascii="Trebuchet MS" w:eastAsia="Trebuchet MS" w:hAnsi="Trebuchet MS"/>
      <w:sz w:val="28"/>
      <w:szCs w:val="28"/>
      <w:lang w:val="en-US" w:eastAsia="en-US"/>
    </w:rPr>
  </w:style>
  <w:style w:type="paragraph" w:styleId="BodyText">
    <w:name w:val="Body Text"/>
    <w:basedOn w:val="Normal"/>
    <w:link w:val="BodyTextChar"/>
    <w:uiPriority w:val="1"/>
    <w:qFormat/>
    <w:rsid w:val="00C17211"/>
    <w:pPr>
      <w:ind w:left="793"/>
    </w:pPr>
    <w:rPr>
      <w:rFonts w:ascii="Trebuchet MS" w:eastAsia="Trebuchet MS" w:hAnsi="Trebuchet MS"/>
      <w:sz w:val="18"/>
      <w:szCs w:val="18"/>
    </w:rPr>
  </w:style>
  <w:style w:type="character" w:customStyle="1" w:styleId="BodyTextChar">
    <w:name w:val="Body Text Char"/>
    <w:basedOn w:val="DefaultParagraphFont"/>
    <w:link w:val="BodyText"/>
    <w:uiPriority w:val="1"/>
    <w:rsid w:val="00C17211"/>
    <w:rPr>
      <w:rFonts w:ascii="Trebuchet MS" w:eastAsia="Trebuchet MS" w:hAnsi="Trebuchet MS"/>
      <w:sz w:val="18"/>
      <w:szCs w:val="18"/>
      <w:lang w:val="en-US" w:eastAsia="en-US"/>
    </w:rPr>
  </w:style>
  <w:style w:type="paragraph" w:styleId="ListParagraph">
    <w:name w:val="List Paragraph"/>
    <w:basedOn w:val="Normal"/>
    <w:uiPriority w:val="1"/>
    <w:qFormat/>
    <w:rsid w:val="00C17211"/>
    <w:pPr>
      <w:ind w:left="720"/>
      <w:contextualSpacing/>
    </w:pPr>
  </w:style>
  <w:style w:type="character" w:styleId="Hyperlink">
    <w:name w:val="Hyperlink"/>
    <w:basedOn w:val="DefaultParagraphFont"/>
    <w:uiPriority w:val="99"/>
    <w:unhideWhenUsed/>
    <w:rsid w:val="00C17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7A2"/>
    <w:pPr>
      <w:widowControl w:val="0"/>
      <w:spacing w:after="0" w:line="240" w:lineRule="auto"/>
    </w:pPr>
    <w:rPr>
      <w:rFonts w:eastAsiaTheme="minorHAnsi"/>
      <w:lang w:val="en-US" w:eastAsia="en-US"/>
    </w:rPr>
  </w:style>
  <w:style w:type="paragraph" w:styleId="Heading2">
    <w:name w:val="heading 2"/>
    <w:basedOn w:val="Normal"/>
    <w:link w:val="Heading2Char"/>
    <w:uiPriority w:val="1"/>
    <w:qFormat/>
    <w:rsid w:val="000927A2"/>
    <w:pPr>
      <w:ind w:left="793"/>
      <w:outlineLvl w:val="1"/>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27A2"/>
    <w:rPr>
      <w:rFonts w:ascii="Trebuchet MS" w:eastAsia="Trebuchet MS" w:hAnsi="Trebuchet MS"/>
      <w:sz w:val="28"/>
      <w:szCs w:val="28"/>
      <w:lang w:val="en-US" w:eastAsia="en-US"/>
    </w:rPr>
  </w:style>
  <w:style w:type="paragraph" w:styleId="BodyText">
    <w:name w:val="Body Text"/>
    <w:basedOn w:val="Normal"/>
    <w:link w:val="BodyTextChar"/>
    <w:uiPriority w:val="1"/>
    <w:qFormat/>
    <w:rsid w:val="00C17211"/>
    <w:pPr>
      <w:ind w:left="793"/>
    </w:pPr>
    <w:rPr>
      <w:rFonts w:ascii="Trebuchet MS" w:eastAsia="Trebuchet MS" w:hAnsi="Trebuchet MS"/>
      <w:sz w:val="18"/>
      <w:szCs w:val="18"/>
    </w:rPr>
  </w:style>
  <w:style w:type="character" w:customStyle="1" w:styleId="BodyTextChar">
    <w:name w:val="Body Text Char"/>
    <w:basedOn w:val="DefaultParagraphFont"/>
    <w:link w:val="BodyText"/>
    <w:uiPriority w:val="1"/>
    <w:rsid w:val="00C17211"/>
    <w:rPr>
      <w:rFonts w:ascii="Trebuchet MS" w:eastAsia="Trebuchet MS" w:hAnsi="Trebuchet MS"/>
      <w:sz w:val="18"/>
      <w:szCs w:val="18"/>
      <w:lang w:val="en-US" w:eastAsia="en-US"/>
    </w:rPr>
  </w:style>
  <w:style w:type="paragraph" w:styleId="ListParagraph">
    <w:name w:val="List Paragraph"/>
    <w:basedOn w:val="Normal"/>
    <w:uiPriority w:val="1"/>
    <w:qFormat/>
    <w:rsid w:val="00C17211"/>
    <w:pPr>
      <w:ind w:left="720"/>
      <w:contextualSpacing/>
    </w:pPr>
  </w:style>
  <w:style w:type="character" w:styleId="Hyperlink">
    <w:name w:val="Hyperlink"/>
    <w:basedOn w:val="DefaultParagraphFont"/>
    <w:uiPriority w:val="99"/>
    <w:unhideWhenUsed/>
    <w:rsid w:val="00C17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qld.gov.au/initiatives/learningandwellbeing/resources/learning-and-wellbeing-framework.pdf" TargetMode="External"/><Relationship Id="rId13" Type="http://schemas.openxmlformats.org/officeDocument/2006/relationships/hyperlink" Target="http://education.qld.gov.au/schools/parent-community-engagement-framework/resources/pdf/parent-community-engagement-framework.pdf" TargetMode="External"/><Relationship Id="rId18" Type="http://schemas.openxmlformats.org/officeDocument/2006/relationships/hyperlink" Target="http://education.qld.gov.au/schools/parent-community-engagement-framework/resources/pdf/parent-community-engagement-framework.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acer.edu.au/files/NSIT_3rd_domain.pdf" TargetMode="External"/><Relationship Id="rId12" Type="http://schemas.openxmlformats.org/officeDocument/2006/relationships/hyperlink" Target="http://deta.qld.gov.au/initiatives/learningandwellbeing/resources/learning-and-wellbeing-framework.pdf" TargetMode="External"/><Relationship Id="rId17" Type="http://schemas.openxmlformats.org/officeDocument/2006/relationships/hyperlink" Target="http://education.qld.gov.au/schools/parent-community-engagement-framework/resources/pdf/parent-community-engagement-framework.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education.qld.gov.au/schools/parent-community-engagement-framework/resources/pdf/parent-community-engagement-framework.pdf" TargetMode="External"/><Relationship Id="rId20" Type="http://schemas.openxmlformats.org/officeDocument/2006/relationships/hyperlink" Target="http://www.qld.gov.au/transitiontoschool" TargetMode="External"/><Relationship Id="rId1" Type="http://schemas.openxmlformats.org/officeDocument/2006/relationships/numbering" Target="numbering.xml"/><Relationship Id="rId6" Type="http://schemas.openxmlformats.org/officeDocument/2006/relationships/hyperlink" Target="https://www.acer.edu.au/files/NSIT_3rd_domain.pdf" TargetMode="External"/><Relationship Id="rId11" Type="http://schemas.openxmlformats.org/officeDocument/2006/relationships/hyperlink" Target="http://deta.qld.gov.au/initiatives/learningandwellbeing/resources/learning-and-wellbeing-framework.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education.qld.gov.au/schools/parent-community-engagement-framework/resources/pdf/parent-community-engagement-framework.pdf" TargetMode="External"/><Relationship Id="rId23" Type="http://schemas.openxmlformats.org/officeDocument/2006/relationships/customXml" Target="../customXml/item1.xml"/><Relationship Id="rId10" Type="http://schemas.openxmlformats.org/officeDocument/2006/relationships/hyperlink" Target="http://deta.qld.gov.au/initiatives/learningandwellbeing/resources/learning-and-wellbeing-framework.pdf" TargetMode="External"/><Relationship Id="rId19" Type="http://schemas.openxmlformats.org/officeDocument/2006/relationships/hyperlink" Target="https://oneportal.deta.qld.gov.au/earlychildhood/forschools/Pages/Transitiontoschoolsupportcontacts.aspx" TargetMode="External"/><Relationship Id="rId4" Type="http://schemas.openxmlformats.org/officeDocument/2006/relationships/settings" Target="settings.xml"/><Relationship Id="rId9" Type="http://schemas.openxmlformats.org/officeDocument/2006/relationships/hyperlink" Target="http://deta.qld.gov.au/initiatives/learningandwellbeing/resources/learning-and-wellbeing-framework.pdf" TargetMode="External"/><Relationship Id="rId14" Type="http://schemas.openxmlformats.org/officeDocument/2006/relationships/hyperlink" Target="http://education.qld.gov.au/schools/parent-community-engagement-framework/resources/pdf/parent-community-engagement-framewor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2023-08-10T23:07:30+00:00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2023-08-10T23:07:30+00:00</PPLastReviewedDate>
    <PPSubmittedDate xmlns="687c0ba5-25f6-467d-a8e9-4285ca7a69ae">2023-08-10T23:07:19+00:00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46F9F6D-550E-4949-B05A-BA4EC31EC639}"/>
</file>

<file path=customXml/itemProps2.xml><?xml version="1.0" encoding="utf-8"?>
<ds:datastoreItem xmlns:ds="http://schemas.openxmlformats.org/officeDocument/2006/customXml" ds:itemID="{8C592328-9C5A-4764-ACAC-7C83D808F886}"/>
</file>

<file path=customXml/itemProps3.xml><?xml version="1.0" encoding="utf-8"?>
<ds:datastoreItem xmlns:ds="http://schemas.openxmlformats.org/officeDocument/2006/customXml" ds:itemID="{D2F4E6CC-C39A-4579-9B14-0D531CD35B26}"/>
</file>

<file path=docProps/app.xml><?xml version="1.0" encoding="utf-8"?>
<Properties xmlns="http://schemas.openxmlformats.org/officeDocument/2006/extended-properties" xmlns:vt="http://schemas.openxmlformats.org/officeDocument/2006/docPropsVTypes">
  <Template>C6D172C.dotm</Template>
  <TotalTime>0</TotalTime>
  <Pages>3</Pages>
  <Words>1335</Words>
  <Characters>7611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schools responsive environments</dc:title>
  <dc:creator>PAXTON, Cathy</dc:creator>
  <cp:lastModifiedBy>SIRETT, Mary</cp:lastModifiedBy>
  <cp:revision>2</cp:revision>
  <dcterms:created xsi:type="dcterms:W3CDTF">2017-03-10T02:04:00Z</dcterms:created>
  <dcterms:modified xsi:type="dcterms:W3CDTF">2017-03-10T02:04:00Z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