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73" w:rsidRPr="00CB0C73" w:rsidRDefault="00CB0C73" w:rsidP="00CB0C73">
      <w:pPr>
        <w:pStyle w:val="Heading2"/>
        <w:spacing w:after="240"/>
        <w:ind w:left="0"/>
        <w:jc w:val="both"/>
        <w:rPr>
          <w:rFonts w:asciiTheme="majorHAnsi" w:eastAsiaTheme="majorEastAsia" w:hAnsiTheme="majorHAnsi" w:cstheme="majorBidi"/>
          <w:b/>
          <w:iCs/>
          <w:color w:val="365F91" w:themeColor="accent1" w:themeShade="BF"/>
          <w:lang w:val="en-AU" w:eastAsia="zh-CN"/>
        </w:rPr>
      </w:pPr>
      <w:bookmarkStart w:id="0" w:name="_GoBack"/>
      <w:r w:rsidRPr="00CB0C73">
        <w:rPr>
          <w:rFonts w:asciiTheme="majorHAnsi" w:eastAsiaTheme="majorEastAsia" w:hAnsiTheme="majorHAnsi" w:cstheme="majorBidi"/>
          <w:b/>
          <w:iCs/>
          <w:color w:val="365F91" w:themeColor="accent1" w:themeShade="BF"/>
          <w:lang w:val="en-AU" w:eastAsia="zh-CN"/>
        </w:rPr>
        <w:t>Supporting successful transitions</w:t>
      </w:r>
      <w:r w:rsidR="00F416C6">
        <w:rPr>
          <w:rFonts w:asciiTheme="majorHAnsi" w:eastAsiaTheme="majorEastAsia" w:hAnsiTheme="majorHAnsi" w:cstheme="majorBidi"/>
          <w:b/>
          <w:iCs/>
          <w:color w:val="365F91" w:themeColor="accent1" w:themeShade="BF"/>
          <w:lang w:val="en-AU" w:eastAsia="zh-CN"/>
        </w:rPr>
        <w:t xml:space="preserve"> </w:t>
      </w:r>
      <w:r w:rsidRPr="00CB0C73">
        <w:rPr>
          <w:rFonts w:asciiTheme="majorHAnsi" w:eastAsiaTheme="majorEastAsia" w:hAnsiTheme="majorHAnsi" w:cstheme="majorBidi"/>
          <w:b/>
          <w:iCs/>
          <w:color w:val="365F91" w:themeColor="accent1" w:themeShade="BF"/>
          <w:lang w:val="en-AU" w:eastAsia="zh-CN"/>
        </w:rPr>
        <w:t>Re</w:t>
      </w:r>
      <w:r w:rsidR="00F416C6">
        <w:rPr>
          <w:rFonts w:asciiTheme="majorHAnsi" w:eastAsiaTheme="majorEastAsia" w:hAnsiTheme="majorHAnsi" w:cstheme="majorBidi"/>
          <w:b/>
          <w:iCs/>
          <w:color w:val="365F91" w:themeColor="accent1" w:themeShade="BF"/>
          <w:lang w:val="en-AU" w:eastAsia="zh-CN"/>
        </w:rPr>
        <w:t>spect for diversity:</w:t>
      </w:r>
      <w:r w:rsidR="00F416C6">
        <w:rPr>
          <w:rFonts w:asciiTheme="majorHAnsi" w:eastAsiaTheme="majorEastAsia" w:hAnsiTheme="majorHAnsi" w:cstheme="majorBidi"/>
          <w:b/>
          <w:iCs/>
          <w:color w:val="365F91" w:themeColor="accent1" w:themeShade="BF"/>
          <w:lang w:val="en-AU" w:eastAsia="zh-CN"/>
        </w:rPr>
        <w:tab/>
      </w:r>
      <w:bookmarkEnd w:id="0"/>
      <w:r w:rsidR="00F416C6">
        <w:rPr>
          <w:rFonts w:asciiTheme="majorHAnsi" w:eastAsiaTheme="majorEastAsia" w:hAnsiTheme="majorHAnsi" w:cstheme="majorBidi"/>
          <w:b/>
          <w:iCs/>
          <w:color w:val="365F91" w:themeColor="accent1" w:themeShade="BF"/>
          <w:lang w:val="en-AU" w:eastAsia="zh-CN"/>
        </w:rPr>
        <w:tab/>
        <w:t xml:space="preserve">        </w:t>
      </w:r>
      <w:r w:rsidRPr="00CB0C73">
        <w:rPr>
          <w:rFonts w:asciiTheme="majorHAnsi" w:eastAsiaTheme="majorEastAsia" w:hAnsiTheme="majorHAnsi" w:cstheme="majorBidi"/>
          <w:b/>
          <w:iCs/>
          <w:color w:val="365F91" w:themeColor="accent1" w:themeShade="BF"/>
          <w:lang w:val="en-AU" w:eastAsia="zh-CN"/>
        </w:rPr>
        <w:t xml:space="preserve">Information for schools </w:t>
      </w:r>
    </w:p>
    <w:p w:rsidR="00CB0C73" w:rsidRPr="00CB0C73" w:rsidRDefault="00CB0C73" w:rsidP="00CB0C73">
      <w:pPr>
        <w:spacing w:before="240" w:after="240" w:line="276" w:lineRule="auto"/>
        <w:rPr>
          <w:rFonts w:ascii="Arial" w:eastAsia="Trebuchet MS" w:hAnsi="Arial" w:cs="Arial"/>
          <w:sz w:val="18"/>
          <w:szCs w:val="18"/>
        </w:rPr>
      </w:pPr>
      <w:r w:rsidRPr="00CB0C73">
        <w:rPr>
          <w:rFonts w:ascii="Arial" w:eastAsia="Trebuchet MS" w:hAnsi="Arial" w:cs="Arial"/>
          <w:sz w:val="18"/>
          <w:szCs w:val="18"/>
        </w:rPr>
        <w:t>Current research and practice highlights the importance of considering both diversity and inclusive practices in developing transition-to-school strategies. ‘When educators, families and other professionals work collaboratively and have access to organisational support, potential exists for individualised, responsive practice that addresses the diverse capabilities of all children’ (Dockett and Perry, 2014).</w:t>
      </w:r>
    </w:p>
    <w:p w:rsidR="00CB0C73" w:rsidRPr="00CB0C73" w:rsidRDefault="00CB0C73" w:rsidP="00CB0C73">
      <w:pPr>
        <w:spacing w:before="240" w:after="240" w:line="276" w:lineRule="auto"/>
        <w:rPr>
          <w:rFonts w:ascii="Arial" w:eastAsia="Trebuchet MS" w:hAnsi="Arial" w:cs="Arial"/>
          <w:sz w:val="18"/>
          <w:szCs w:val="18"/>
        </w:rPr>
      </w:pPr>
      <w:r w:rsidRPr="00CB0C73">
        <w:rPr>
          <w:rFonts w:ascii="Arial" w:eastAsia="Trebuchet MS" w:hAnsi="Arial" w:cs="Arial"/>
          <w:sz w:val="18"/>
          <w:szCs w:val="18"/>
        </w:rPr>
        <w:t>Developing strategies as a school, in collaboration with other key community partners will support children’s positive transition to school and ultimately their long-term outcomes. Evidence also recognises that all children are best supported when new learning builds on their interests, knowledge and previous experiences.</w:t>
      </w:r>
    </w:p>
    <w:p w:rsidR="00CB0C73" w:rsidRPr="00CB0C73" w:rsidRDefault="00CB0C73" w:rsidP="00CB0C73">
      <w:pPr>
        <w:spacing w:before="240" w:after="240" w:line="276" w:lineRule="auto"/>
        <w:rPr>
          <w:rFonts w:ascii="Arial" w:eastAsia="Trebuchet MS" w:hAnsi="Arial" w:cs="Arial"/>
          <w:sz w:val="18"/>
          <w:szCs w:val="18"/>
        </w:rPr>
        <w:sectPr w:rsidR="00CB0C73" w:rsidRPr="00CB0C73" w:rsidSect="00CB0C73">
          <w:type w:val="continuous"/>
          <w:pgSz w:w="11910" w:h="16840"/>
          <w:pgMar w:top="1440" w:right="1440" w:bottom="1440" w:left="1440" w:header="720" w:footer="720" w:gutter="0"/>
          <w:cols w:space="720"/>
          <w:docGrid w:linePitch="299"/>
        </w:sectPr>
      </w:pPr>
      <w:r w:rsidRPr="00CB0C73">
        <w:rPr>
          <w:rFonts w:ascii="Arial" w:eastAsia="Trebuchet MS" w:hAnsi="Arial" w:cs="Arial"/>
          <w:sz w:val="18"/>
          <w:szCs w:val="18"/>
        </w:rPr>
        <w:t>This fact sheet highlights current research, policy and curriculum frameworks informing inclusive practices relevant to schools and early childhood services.</w:t>
      </w:r>
    </w:p>
    <w:p w:rsidR="00C11F97" w:rsidRPr="00CB0C73" w:rsidRDefault="00E610FE" w:rsidP="00CB0C73">
      <w:pPr>
        <w:pStyle w:val="Heading2"/>
        <w:ind w:left="0"/>
        <w:rPr>
          <w:rFonts w:ascii="Arial" w:hAnsi="Arial" w:cs="Arial"/>
          <w:sz w:val="18"/>
          <w:szCs w:val="18"/>
        </w:rPr>
      </w:pPr>
      <w:r w:rsidRPr="00CB0C73">
        <w:rPr>
          <w:rFonts w:asciiTheme="majorHAnsi" w:eastAsiaTheme="majorEastAsia" w:hAnsiTheme="majorHAnsi" w:cstheme="majorBidi"/>
          <w:b/>
          <w:iCs/>
          <w:color w:val="4F81BD" w:themeColor="accent1"/>
          <w:sz w:val="26"/>
          <w:szCs w:val="26"/>
          <w:lang w:val="en-AU" w:eastAsia="zh-CN"/>
        </w:rPr>
        <w:lastRenderedPageBreak/>
        <w:t>Respect for diversity</w:t>
      </w:r>
    </w:p>
    <w:p w:rsidR="00C11F97" w:rsidRPr="00CB0C73" w:rsidRDefault="00E610FE" w:rsidP="00CB0C73">
      <w:pPr>
        <w:pStyle w:val="BodyText"/>
        <w:spacing w:before="122" w:line="276" w:lineRule="auto"/>
        <w:ind w:left="0"/>
        <w:rPr>
          <w:rFonts w:ascii="Arial" w:hAnsi="Arial" w:cs="Arial"/>
        </w:rPr>
      </w:pPr>
      <w:r w:rsidRPr="00CB0C73">
        <w:rPr>
          <w:rFonts w:ascii="Arial" w:hAnsi="Arial" w:cs="Arial"/>
        </w:rPr>
        <w:t>Recently the definition of diversity has expanded, including a multitude of individual differences. Diversity can characterise not only culture, but also various linguistic, location, social, economic, learning, abilities, gender or other distinctive characteristics. This definition of diversity encourages us to see</w:t>
      </w:r>
      <w:r w:rsidR="00CB0C73" w:rsidRPr="00CB0C73">
        <w:rPr>
          <w:rFonts w:ascii="Arial" w:hAnsi="Arial" w:cs="Arial"/>
        </w:rPr>
        <w:t xml:space="preserve"> </w:t>
      </w:r>
      <w:r w:rsidRPr="00CB0C73">
        <w:rPr>
          <w:rFonts w:ascii="Arial" w:hAnsi="Arial" w:cs="Arial"/>
        </w:rPr>
        <w:t xml:space="preserve">differences as </w:t>
      </w:r>
      <w:proofErr w:type="gramStart"/>
      <w:r w:rsidRPr="00CB0C73">
        <w:rPr>
          <w:rFonts w:ascii="Arial" w:hAnsi="Arial" w:cs="Arial"/>
        </w:rPr>
        <w:t>a strength</w:t>
      </w:r>
      <w:proofErr w:type="gramEnd"/>
      <w:r w:rsidRPr="00CB0C73">
        <w:rPr>
          <w:rFonts w:ascii="Arial" w:hAnsi="Arial" w:cs="Arial"/>
        </w:rPr>
        <w:t xml:space="preserve"> and recognise that diversity is present in some way in all children.</w:t>
      </w:r>
    </w:p>
    <w:p w:rsidR="00C11F97" w:rsidRPr="00CB0C73" w:rsidRDefault="00C11F97" w:rsidP="00CB0C73">
      <w:pPr>
        <w:spacing w:before="7"/>
        <w:rPr>
          <w:rFonts w:ascii="Arial" w:eastAsia="Trebuchet MS" w:hAnsi="Arial" w:cs="Arial"/>
          <w:sz w:val="18"/>
          <w:szCs w:val="18"/>
        </w:rPr>
      </w:pPr>
    </w:p>
    <w:p w:rsidR="00C11F97" w:rsidRPr="00CB0C73" w:rsidRDefault="00E610FE" w:rsidP="00CB0C73">
      <w:pPr>
        <w:pStyle w:val="BodyText"/>
        <w:spacing w:line="276" w:lineRule="auto"/>
        <w:ind w:left="0"/>
        <w:rPr>
          <w:rFonts w:ascii="Arial" w:hAnsi="Arial" w:cs="Arial"/>
        </w:rPr>
      </w:pPr>
      <w:r w:rsidRPr="00CB0C73">
        <w:rPr>
          <w:rFonts w:ascii="Arial" w:hAnsi="Arial" w:cs="Arial"/>
        </w:rPr>
        <w:t>Respect for diversity is entwined with the principles of equity; that is providing children with access to fair, just and non- discriminatory education and care. As a signatory to the United Nations Convention on the Rights of the Child, Australia is     committed to a policy of inclusion. All educational settings uphold children’s rights to accessible and affordable education, non-discriminatory practices, and practices in the best interests of each child. The Convention also provides educators with guidance on principles of equity and diversity.</w:t>
      </w:r>
    </w:p>
    <w:p w:rsidR="00C11F97" w:rsidRPr="00CB0C73" w:rsidRDefault="00C11F97" w:rsidP="00CB0C73">
      <w:pPr>
        <w:spacing w:before="3"/>
        <w:rPr>
          <w:rFonts w:ascii="Arial" w:eastAsia="Trebuchet MS" w:hAnsi="Arial" w:cs="Arial"/>
          <w:sz w:val="18"/>
          <w:szCs w:val="18"/>
        </w:rPr>
      </w:pPr>
    </w:p>
    <w:p w:rsidR="00C11F97" w:rsidRPr="00CB0C73" w:rsidRDefault="00E610FE" w:rsidP="00CB0C73">
      <w:pPr>
        <w:pStyle w:val="Heading2"/>
        <w:ind w:left="0"/>
        <w:rPr>
          <w:rFonts w:asciiTheme="majorHAnsi" w:eastAsiaTheme="majorEastAsia" w:hAnsiTheme="majorHAnsi" w:cstheme="majorBidi"/>
          <w:b/>
          <w:iCs/>
          <w:color w:val="4F81BD" w:themeColor="accent1"/>
          <w:sz w:val="26"/>
          <w:szCs w:val="26"/>
          <w:lang w:val="en-AU" w:eastAsia="zh-CN"/>
        </w:rPr>
      </w:pPr>
      <w:r w:rsidRPr="00CB0C73">
        <w:rPr>
          <w:rFonts w:asciiTheme="majorHAnsi" w:eastAsiaTheme="majorEastAsia" w:hAnsiTheme="majorHAnsi" w:cstheme="majorBidi"/>
          <w:b/>
          <w:iCs/>
          <w:color w:val="4F81BD" w:themeColor="accent1"/>
          <w:sz w:val="26"/>
          <w:szCs w:val="26"/>
          <w:lang w:val="en-AU" w:eastAsia="zh-CN"/>
        </w:rPr>
        <w:t>Policy</w:t>
      </w:r>
    </w:p>
    <w:p w:rsidR="00C11F97" w:rsidRPr="00CB0C73" w:rsidRDefault="00E610FE" w:rsidP="00CB0C73">
      <w:pPr>
        <w:pStyle w:val="BodyText"/>
        <w:spacing w:before="122" w:line="276" w:lineRule="auto"/>
        <w:ind w:left="0"/>
        <w:rPr>
          <w:rFonts w:ascii="Arial" w:hAnsi="Arial" w:cs="Arial"/>
        </w:rPr>
      </w:pPr>
      <w:r w:rsidRPr="00CB0C73">
        <w:rPr>
          <w:rFonts w:ascii="Arial" w:hAnsi="Arial" w:cs="Arial"/>
        </w:rPr>
        <w:t>The department is committed to a policy of inclusion where all educational settings uphold children’s right to access quality, inclusive education and care that supports them to reach their full potential. An integral element of this commitment is the need to recognise and respond to all children’s diversity in respectful ways.</w:t>
      </w:r>
    </w:p>
    <w:p w:rsidR="00C11F97" w:rsidRPr="00CB0C73" w:rsidRDefault="00C11F97" w:rsidP="00CB0C73">
      <w:pPr>
        <w:spacing w:before="7"/>
        <w:rPr>
          <w:rFonts w:ascii="Arial" w:eastAsia="Trebuchet MS" w:hAnsi="Arial" w:cs="Arial"/>
          <w:sz w:val="18"/>
          <w:szCs w:val="18"/>
        </w:rPr>
      </w:pPr>
    </w:p>
    <w:p w:rsidR="00C11F97" w:rsidRPr="00CB0C73" w:rsidRDefault="00E610FE" w:rsidP="00CB0C73">
      <w:pPr>
        <w:pStyle w:val="BodyText"/>
        <w:spacing w:line="276" w:lineRule="auto"/>
        <w:ind w:left="0"/>
        <w:rPr>
          <w:rFonts w:ascii="Arial" w:hAnsi="Arial" w:cs="Arial"/>
        </w:rPr>
      </w:pPr>
      <w:r w:rsidRPr="00CB0C73">
        <w:rPr>
          <w:rFonts w:ascii="Arial" w:hAnsi="Arial" w:cs="Arial"/>
        </w:rPr>
        <w:t>The table below outlines a selection of key policy documents and curriculum frameworks. These documents were developed to support principals, teachers and educators to embed inclusive education practices.</w:t>
      </w:r>
    </w:p>
    <w:p w:rsidR="00C11F97" w:rsidRPr="00CB0C73" w:rsidRDefault="00C11F97">
      <w:pPr>
        <w:spacing w:line="276" w:lineRule="auto"/>
        <w:rPr>
          <w:rFonts w:ascii="Arial" w:eastAsia="Trebuchet MS" w:hAnsi="Arial" w:cs="Arial"/>
          <w:sz w:val="18"/>
          <w:szCs w:val="18"/>
        </w:rPr>
        <w:sectPr w:rsidR="00C11F97" w:rsidRPr="00CB0C73" w:rsidSect="00CB0C73">
          <w:type w:val="continuous"/>
          <w:pgSz w:w="11910" w:h="16840"/>
          <w:pgMar w:top="1440" w:right="1440" w:bottom="1440" w:left="1440" w:header="720" w:footer="720" w:gutter="0"/>
          <w:cols w:space="720"/>
          <w:docGrid w:linePitch="299"/>
        </w:sectPr>
      </w:pPr>
    </w:p>
    <w:p w:rsidR="00C11F97" w:rsidRPr="00CB0C73" w:rsidRDefault="00C11F97">
      <w:pPr>
        <w:spacing w:before="5"/>
        <w:rPr>
          <w:rFonts w:ascii="Arial" w:eastAsia="Trebuchet MS" w:hAnsi="Arial" w:cs="Arial"/>
          <w:sz w:val="18"/>
          <w:szCs w:val="18"/>
        </w:rPr>
      </w:pPr>
    </w:p>
    <w:tbl>
      <w:tblPr>
        <w:tblW w:w="90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87"/>
        <w:gridCol w:w="4802"/>
        <w:gridCol w:w="2683"/>
      </w:tblGrid>
      <w:tr w:rsidR="00C11F97" w:rsidRPr="00CB0C73" w:rsidTr="00CB0C73">
        <w:trPr>
          <w:trHeight w:hRule="exact" w:val="285"/>
        </w:trPr>
        <w:tc>
          <w:tcPr>
            <w:tcW w:w="1587" w:type="dxa"/>
            <w:shd w:val="clear" w:color="auto" w:fill="auto"/>
            <w:vAlign w:val="center"/>
          </w:tcPr>
          <w:p w:rsidR="00C11F97" w:rsidRPr="00341877" w:rsidRDefault="00E610FE" w:rsidP="00341877">
            <w:pPr>
              <w:pStyle w:val="BodyText"/>
              <w:spacing w:line="276" w:lineRule="auto"/>
              <w:ind w:left="152" w:right="159"/>
              <w:rPr>
                <w:rFonts w:ascii="Arial" w:hAnsi="Arial" w:cs="Arial"/>
                <w:b/>
              </w:rPr>
            </w:pPr>
            <w:r w:rsidRPr="00341877">
              <w:rPr>
                <w:rFonts w:ascii="Arial" w:hAnsi="Arial" w:cs="Arial"/>
                <w:b/>
              </w:rPr>
              <w:t>Policy</w:t>
            </w:r>
          </w:p>
        </w:tc>
        <w:tc>
          <w:tcPr>
            <w:tcW w:w="4802" w:type="dxa"/>
            <w:shd w:val="clear" w:color="auto" w:fill="auto"/>
            <w:vAlign w:val="center"/>
          </w:tcPr>
          <w:p w:rsidR="00C11F97" w:rsidRPr="00341877" w:rsidRDefault="00E610FE" w:rsidP="00341877">
            <w:pPr>
              <w:pStyle w:val="BodyText"/>
              <w:spacing w:line="276" w:lineRule="auto"/>
              <w:ind w:left="152" w:right="159"/>
              <w:rPr>
                <w:rFonts w:ascii="Arial" w:hAnsi="Arial" w:cs="Arial"/>
                <w:b/>
              </w:rPr>
            </w:pPr>
            <w:r w:rsidRPr="00341877">
              <w:rPr>
                <w:rFonts w:ascii="Arial" w:hAnsi="Arial" w:cs="Arial"/>
                <w:b/>
              </w:rPr>
              <w:t>Position statement</w:t>
            </w:r>
          </w:p>
        </w:tc>
        <w:tc>
          <w:tcPr>
            <w:tcW w:w="2683" w:type="dxa"/>
            <w:shd w:val="clear" w:color="auto" w:fill="auto"/>
            <w:vAlign w:val="center"/>
          </w:tcPr>
          <w:p w:rsidR="00C11F97" w:rsidRPr="00341877" w:rsidRDefault="00E610FE" w:rsidP="00341877">
            <w:pPr>
              <w:pStyle w:val="BodyText"/>
              <w:spacing w:line="276" w:lineRule="auto"/>
              <w:ind w:left="152" w:right="159"/>
              <w:rPr>
                <w:rFonts w:ascii="Arial" w:hAnsi="Arial" w:cs="Arial"/>
                <w:b/>
              </w:rPr>
            </w:pPr>
            <w:r w:rsidRPr="00341877">
              <w:rPr>
                <w:rFonts w:ascii="Arial" w:hAnsi="Arial" w:cs="Arial"/>
                <w:b/>
              </w:rPr>
              <w:t>Where to find</w:t>
            </w:r>
          </w:p>
        </w:tc>
      </w:tr>
      <w:tr w:rsidR="00CB0C73" w:rsidRPr="00CB0C73" w:rsidTr="00CB0C73">
        <w:trPr>
          <w:trHeight w:val="1571"/>
        </w:trPr>
        <w:tc>
          <w:tcPr>
            <w:tcW w:w="1587" w:type="dxa"/>
            <w:shd w:val="clear" w:color="auto" w:fill="auto"/>
          </w:tcPr>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Melbourne</w:t>
            </w:r>
          </w:p>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Declaration on</w:t>
            </w:r>
          </w:p>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Educational Goals</w:t>
            </w:r>
          </w:p>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for Young Australians</w:t>
            </w:r>
          </w:p>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(2008)</w:t>
            </w:r>
          </w:p>
        </w:tc>
        <w:tc>
          <w:tcPr>
            <w:tcW w:w="4802" w:type="dxa"/>
            <w:shd w:val="clear" w:color="auto" w:fill="auto"/>
          </w:tcPr>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‘All Australian governments and all school sectors must provide all students with access to high-quality schooling that is free from discrimination based on gender, language, sexual orientation, pregnancy, culture, ethnicity, religion, health or disability, socioeconomic background or geographic location.’</w:t>
            </w:r>
          </w:p>
        </w:tc>
        <w:tc>
          <w:tcPr>
            <w:tcW w:w="2683" w:type="dxa"/>
            <w:shd w:val="clear" w:color="auto" w:fill="auto"/>
          </w:tcPr>
          <w:p w:rsidR="00CB0C73" w:rsidRPr="00341877" w:rsidRDefault="00F416C6" w:rsidP="00341877">
            <w:pPr>
              <w:pStyle w:val="BodyText"/>
              <w:spacing w:line="276" w:lineRule="auto"/>
              <w:ind w:left="152" w:right="159"/>
              <w:rPr>
                <w:rFonts w:ascii="Arial" w:hAnsi="Arial" w:cs="Arial"/>
              </w:rPr>
            </w:pPr>
            <w:hyperlink r:id="rId6">
              <w:r w:rsidR="00CB0C73" w:rsidRPr="00341877">
                <w:rPr>
                  <w:rFonts w:ascii="Arial" w:hAnsi="Arial" w:cs="Arial"/>
                  <w:color w:val="0095DA"/>
                </w:rPr>
                <w:t>http://www.curriculum.</w:t>
              </w:r>
            </w:hyperlink>
          </w:p>
          <w:p w:rsidR="00CB0C73" w:rsidRPr="00341877" w:rsidRDefault="00F416C6" w:rsidP="00341877">
            <w:pPr>
              <w:pStyle w:val="BodyText"/>
              <w:spacing w:line="276" w:lineRule="auto"/>
              <w:ind w:left="152" w:right="159"/>
              <w:rPr>
                <w:rFonts w:ascii="Arial" w:hAnsi="Arial" w:cs="Arial"/>
              </w:rPr>
            </w:pPr>
            <w:hyperlink r:id="rId7">
              <w:r w:rsidR="00CB0C73" w:rsidRPr="00341877">
                <w:rPr>
                  <w:rFonts w:ascii="Arial" w:hAnsi="Arial" w:cs="Arial"/>
                  <w:color w:val="0095DA"/>
                </w:rPr>
                <w:t>edu.au/verve/_resources/</w:t>
              </w:r>
            </w:hyperlink>
          </w:p>
          <w:p w:rsidR="00CB0C73" w:rsidRPr="00341877" w:rsidRDefault="00F416C6" w:rsidP="00341877">
            <w:pPr>
              <w:pStyle w:val="BodyText"/>
              <w:spacing w:line="276" w:lineRule="auto"/>
              <w:ind w:left="152" w:right="159"/>
              <w:rPr>
                <w:rFonts w:ascii="Arial" w:hAnsi="Arial" w:cs="Arial"/>
              </w:rPr>
            </w:pPr>
            <w:hyperlink r:id="rId8">
              <w:r w:rsidR="00CB0C73" w:rsidRPr="00341877">
                <w:rPr>
                  <w:rFonts w:ascii="Arial" w:hAnsi="Arial" w:cs="Arial"/>
                  <w:color w:val="0095DA"/>
                </w:rPr>
                <w:t>National_Declaration_on_the_</w:t>
              </w:r>
            </w:hyperlink>
          </w:p>
          <w:p w:rsidR="00CB0C73" w:rsidRPr="00341877" w:rsidRDefault="00F416C6" w:rsidP="00341877">
            <w:pPr>
              <w:pStyle w:val="BodyText"/>
              <w:spacing w:line="276" w:lineRule="auto"/>
              <w:ind w:left="152" w:right="159"/>
              <w:rPr>
                <w:rFonts w:ascii="Arial" w:hAnsi="Arial" w:cs="Arial"/>
              </w:rPr>
            </w:pPr>
            <w:hyperlink r:id="rId9">
              <w:r w:rsidR="00CB0C73" w:rsidRPr="00341877">
                <w:rPr>
                  <w:rFonts w:ascii="Arial" w:hAnsi="Arial" w:cs="Arial"/>
                  <w:color w:val="0095DA"/>
                  <w:w w:val="95"/>
                </w:rPr>
                <w:t>Educational_Goals_for_Young_</w:t>
              </w:r>
            </w:hyperlink>
          </w:p>
          <w:p w:rsidR="00CB0C73" w:rsidRPr="00341877" w:rsidRDefault="00F416C6" w:rsidP="00341877">
            <w:pPr>
              <w:pStyle w:val="BodyText"/>
              <w:spacing w:line="276" w:lineRule="auto"/>
              <w:ind w:left="152" w:right="159"/>
              <w:rPr>
                <w:rFonts w:ascii="Arial" w:hAnsi="Arial" w:cs="Arial"/>
              </w:rPr>
            </w:pPr>
            <w:hyperlink r:id="rId10">
              <w:r w:rsidR="00CB0C73" w:rsidRPr="00341877">
                <w:rPr>
                  <w:rFonts w:ascii="Arial" w:hAnsi="Arial" w:cs="Arial"/>
                  <w:color w:val="0095DA"/>
                </w:rPr>
                <w:t>Australians.pdf</w:t>
              </w:r>
            </w:hyperlink>
          </w:p>
        </w:tc>
      </w:tr>
      <w:tr w:rsidR="00CB0C73" w:rsidRPr="00CB0C73" w:rsidTr="00CB0C73">
        <w:trPr>
          <w:trHeight w:val="1208"/>
        </w:trPr>
        <w:tc>
          <w:tcPr>
            <w:tcW w:w="1587" w:type="dxa"/>
            <w:shd w:val="clear" w:color="auto" w:fill="auto"/>
          </w:tcPr>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Early Years Learning</w:t>
            </w:r>
          </w:p>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Framework (2009)</w:t>
            </w:r>
          </w:p>
        </w:tc>
        <w:tc>
          <w:tcPr>
            <w:tcW w:w="4802" w:type="dxa"/>
            <w:shd w:val="clear" w:color="auto" w:fill="auto"/>
          </w:tcPr>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‘The diversity in family life means that children experience belonging, being and becoming in many different ways. They bring their diverse experiences, perspectives, expectations, knowledge and skills to their learning. Children’s learning is dynamic, complex and holistic.</w:t>
            </w:r>
          </w:p>
          <w:p w:rsidR="00CB0C73" w:rsidRPr="00341877" w:rsidRDefault="00CB0C73" w:rsidP="00341877">
            <w:pPr>
              <w:pStyle w:val="BodyText"/>
              <w:spacing w:line="276" w:lineRule="auto"/>
              <w:ind w:left="152" w:right="159"/>
              <w:rPr>
                <w:rFonts w:ascii="Arial" w:hAnsi="Arial" w:cs="Arial"/>
              </w:rPr>
            </w:pPr>
            <w:r w:rsidRPr="00341877">
              <w:rPr>
                <w:rFonts w:ascii="Arial" w:hAnsi="Arial" w:cs="Arial"/>
              </w:rPr>
              <w:t>Physical, social, emotional, personal, spiritual, creative, cognitive and linguistic aspects of learning are all intricately interwoven and interrelated.’</w:t>
            </w:r>
          </w:p>
        </w:tc>
        <w:tc>
          <w:tcPr>
            <w:tcW w:w="2683" w:type="dxa"/>
            <w:shd w:val="clear" w:color="auto" w:fill="auto"/>
          </w:tcPr>
          <w:p w:rsidR="00CB0C73" w:rsidRPr="00341877" w:rsidRDefault="00F416C6" w:rsidP="00341877">
            <w:pPr>
              <w:pStyle w:val="BodyText"/>
              <w:spacing w:line="276" w:lineRule="auto"/>
              <w:ind w:left="152" w:right="159"/>
              <w:rPr>
                <w:rFonts w:ascii="Arial" w:hAnsi="Arial" w:cs="Arial"/>
              </w:rPr>
            </w:pPr>
            <w:hyperlink r:id="rId11">
              <w:r w:rsidR="00CB0C73" w:rsidRPr="00341877">
                <w:rPr>
                  <w:rFonts w:ascii="Arial" w:hAnsi="Arial" w:cs="Arial"/>
                  <w:color w:val="0095DA"/>
                </w:rPr>
                <w:t>https://docs.education.</w:t>
              </w:r>
            </w:hyperlink>
          </w:p>
          <w:p w:rsidR="00CB0C73" w:rsidRPr="00341877" w:rsidRDefault="00F416C6" w:rsidP="00341877">
            <w:pPr>
              <w:pStyle w:val="BodyText"/>
              <w:spacing w:line="276" w:lineRule="auto"/>
              <w:ind w:left="152" w:right="159"/>
              <w:rPr>
                <w:rFonts w:ascii="Arial" w:hAnsi="Arial" w:cs="Arial"/>
              </w:rPr>
            </w:pPr>
            <w:hyperlink r:id="rId12">
              <w:r w:rsidR="00CB0C73" w:rsidRPr="00341877">
                <w:rPr>
                  <w:rFonts w:ascii="Arial" w:hAnsi="Arial" w:cs="Arial"/>
                  <w:color w:val="0095DA"/>
                </w:rPr>
                <w:t>gov.au/system/files/doc/</w:t>
              </w:r>
            </w:hyperlink>
          </w:p>
          <w:p w:rsidR="00CB0C73" w:rsidRPr="00341877" w:rsidRDefault="00F416C6" w:rsidP="00341877">
            <w:pPr>
              <w:pStyle w:val="BodyText"/>
              <w:spacing w:line="276" w:lineRule="auto"/>
              <w:ind w:left="152" w:right="159"/>
              <w:rPr>
                <w:rFonts w:ascii="Arial" w:hAnsi="Arial" w:cs="Arial"/>
              </w:rPr>
            </w:pPr>
            <w:hyperlink r:id="rId13">
              <w:r w:rsidR="00CB0C73" w:rsidRPr="00341877">
                <w:rPr>
                  <w:rFonts w:ascii="Arial" w:hAnsi="Arial" w:cs="Arial"/>
                  <w:color w:val="0095DA"/>
                </w:rPr>
                <w:t>other/belonging_being_and_</w:t>
              </w:r>
            </w:hyperlink>
          </w:p>
          <w:p w:rsidR="00CB0C73" w:rsidRPr="00341877" w:rsidRDefault="00F416C6" w:rsidP="00341877">
            <w:pPr>
              <w:pStyle w:val="BodyText"/>
              <w:spacing w:line="276" w:lineRule="auto"/>
              <w:ind w:left="152" w:right="159"/>
              <w:rPr>
                <w:rFonts w:ascii="Arial" w:hAnsi="Arial" w:cs="Arial"/>
              </w:rPr>
            </w:pPr>
            <w:hyperlink r:id="rId14">
              <w:r w:rsidR="00CB0C73" w:rsidRPr="00341877">
                <w:rPr>
                  <w:rFonts w:ascii="Arial" w:hAnsi="Arial" w:cs="Arial"/>
                  <w:color w:val="0095DA"/>
                </w:rPr>
                <w:t>becoming_the_early_years_</w:t>
              </w:r>
            </w:hyperlink>
          </w:p>
          <w:p w:rsidR="00CB0C73" w:rsidRPr="00341877" w:rsidRDefault="00F416C6" w:rsidP="00341877">
            <w:pPr>
              <w:pStyle w:val="BodyText"/>
              <w:spacing w:line="276" w:lineRule="auto"/>
              <w:ind w:left="152" w:right="159"/>
              <w:rPr>
                <w:rFonts w:ascii="Arial" w:hAnsi="Arial" w:cs="Arial"/>
              </w:rPr>
            </w:pPr>
            <w:hyperlink r:id="rId15">
              <w:r w:rsidR="00CB0C73" w:rsidRPr="00341877">
                <w:rPr>
                  <w:rFonts w:ascii="Arial" w:hAnsi="Arial" w:cs="Arial"/>
                  <w:color w:val="0095DA"/>
                </w:rPr>
                <w:t>learning_framework_for_</w:t>
              </w:r>
            </w:hyperlink>
          </w:p>
          <w:p w:rsidR="00CB0C73" w:rsidRPr="00341877" w:rsidRDefault="00F416C6" w:rsidP="00341877">
            <w:pPr>
              <w:pStyle w:val="BodyText"/>
              <w:spacing w:line="276" w:lineRule="auto"/>
              <w:ind w:left="152" w:right="159"/>
              <w:rPr>
                <w:rFonts w:ascii="Arial" w:hAnsi="Arial" w:cs="Arial"/>
              </w:rPr>
            </w:pPr>
            <w:hyperlink r:id="rId16">
              <w:r w:rsidR="00CB0C73" w:rsidRPr="00341877">
                <w:rPr>
                  <w:rFonts w:ascii="Arial" w:hAnsi="Arial" w:cs="Arial"/>
                  <w:color w:val="0095DA"/>
                </w:rPr>
                <w:t>australia.pdf</w:t>
              </w:r>
            </w:hyperlink>
          </w:p>
        </w:tc>
      </w:tr>
      <w:tr w:rsidR="00E610FE" w:rsidRPr="00CB0C73" w:rsidTr="00E610FE">
        <w:trPr>
          <w:trHeight w:val="2604"/>
        </w:trPr>
        <w:tc>
          <w:tcPr>
            <w:tcW w:w="1587" w:type="dxa"/>
            <w:shd w:val="clear" w:color="auto" w:fill="auto"/>
          </w:tcPr>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lastRenderedPageBreak/>
              <w:t>The Australian</w:t>
            </w:r>
          </w:p>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Curriculum (2012)</w:t>
            </w:r>
          </w:p>
        </w:tc>
        <w:tc>
          <w:tcPr>
            <w:tcW w:w="4802" w:type="dxa"/>
            <w:shd w:val="clear" w:color="auto" w:fill="auto"/>
          </w:tcPr>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w:t>
            </w:r>
            <w:r w:rsidRPr="00341877">
              <w:rPr>
                <w:rFonts w:ascii="Arial" w:hAnsi="Arial" w:cs="Arial"/>
                <w:i/>
              </w:rPr>
              <w:t>Australian Curriculum Assessment and Reporting Authority</w:t>
            </w:r>
            <w:r w:rsidRPr="00341877">
              <w:rPr>
                <w:rFonts w:ascii="Arial" w:hAnsi="Arial" w:cs="Arial"/>
              </w:rPr>
              <w:t xml:space="preserve"> (ACARA) </w:t>
            </w:r>
            <w:proofErr w:type="gramStart"/>
            <w:r w:rsidRPr="00341877">
              <w:rPr>
                <w:rFonts w:ascii="Arial" w:hAnsi="Arial" w:cs="Arial"/>
              </w:rPr>
              <w:t>is</w:t>
            </w:r>
            <w:proofErr w:type="gramEnd"/>
            <w:r w:rsidRPr="00341877">
              <w:rPr>
                <w:rFonts w:ascii="Arial" w:hAnsi="Arial" w:cs="Arial"/>
              </w:rPr>
              <w:t xml:space="preserve"> committed to the development of a high-quality curriculum for all Australian students, one that promotes excellence and equity in education. All students are entitled to rigorous, relevant and engaging learning programs drawn from a challenging curriculum that addresses their individual learning needs. Teachers will use the Australian Curriculum to develop teaching and learning programs that build on students’ interests, strengths, goals and learning needs, and address the cognitive, affective, physical, social and aesthetic needs of all students.’</w:t>
            </w:r>
          </w:p>
        </w:tc>
        <w:tc>
          <w:tcPr>
            <w:tcW w:w="2683" w:type="dxa"/>
            <w:shd w:val="clear" w:color="auto" w:fill="auto"/>
          </w:tcPr>
          <w:p w:rsidR="00E610FE" w:rsidRPr="00341877" w:rsidRDefault="00F416C6" w:rsidP="00341877">
            <w:pPr>
              <w:pStyle w:val="BodyText"/>
              <w:spacing w:line="276" w:lineRule="auto"/>
              <w:ind w:left="152" w:right="159"/>
              <w:rPr>
                <w:rFonts w:ascii="Arial" w:hAnsi="Arial" w:cs="Arial"/>
              </w:rPr>
            </w:pPr>
            <w:hyperlink r:id="rId17">
              <w:r w:rsidR="00E610FE" w:rsidRPr="00341877">
                <w:rPr>
                  <w:rFonts w:ascii="Arial" w:hAnsi="Arial" w:cs="Arial"/>
                  <w:color w:val="0095DA"/>
                </w:rPr>
                <w:t>http://www.</w:t>
              </w:r>
            </w:hyperlink>
          </w:p>
          <w:p w:rsidR="00E610FE" w:rsidRPr="00341877" w:rsidRDefault="00F416C6" w:rsidP="00341877">
            <w:pPr>
              <w:pStyle w:val="BodyText"/>
              <w:spacing w:line="276" w:lineRule="auto"/>
              <w:ind w:left="152" w:right="159"/>
              <w:rPr>
                <w:rFonts w:ascii="Arial" w:hAnsi="Arial" w:cs="Arial"/>
              </w:rPr>
            </w:pPr>
            <w:hyperlink r:id="rId18">
              <w:r w:rsidR="00E610FE" w:rsidRPr="00341877">
                <w:rPr>
                  <w:rFonts w:ascii="Arial" w:hAnsi="Arial" w:cs="Arial"/>
                  <w:color w:val="0095DA"/>
                </w:rPr>
                <w:t>australiancurriculum.edu.</w:t>
              </w:r>
            </w:hyperlink>
          </w:p>
          <w:p w:rsidR="00E610FE" w:rsidRPr="00341877" w:rsidRDefault="00F416C6" w:rsidP="00341877">
            <w:pPr>
              <w:pStyle w:val="BodyText"/>
              <w:spacing w:line="276" w:lineRule="auto"/>
              <w:ind w:left="152" w:right="159"/>
              <w:rPr>
                <w:rFonts w:ascii="Arial" w:hAnsi="Arial" w:cs="Arial"/>
              </w:rPr>
            </w:pPr>
            <w:hyperlink r:id="rId19">
              <w:r w:rsidR="00E610FE" w:rsidRPr="00341877">
                <w:rPr>
                  <w:rFonts w:ascii="Arial" w:hAnsi="Arial" w:cs="Arial"/>
                  <w:color w:val="0095DA"/>
                </w:rPr>
                <w:t>au/studentdiversity/student-</w:t>
              </w:r>
            </w:hyperlink>
          </w:p>
          <w:p w:rsidR="00E610FE" w:rsidRPr="00341877" w:rsidRDefault="00F416C6" w:rsidP="00341877">
            <w:pPr>
              <w:pStyle w:val="BodyText"/>
              <w:spacing w:line="276" w:lineRule="auto"/>
              <w:ind w:left="152" w:right="159"/>
              <w:rPr>
                <w:rFonts w:ascii="Arial" w:hAnsi="Arial" w:cs="Arial"/>
              </w:rPr>
            </w:pPr>
            <w:hyperlink r:id="rId20">
              <w:r w:rsidR="00E610FE" w:rsidRPr="00341877">
                <w:rPr>
                  <w:rFonts w:ascii="Arial" w:hAnsi="Arial" w:cs="Arial"/>
                  <w:color w:val="0095DA"/>
                </w:rPr>
                <w:t>diversity-advice</w:t>
              </w:r>
            </w:hyperlink>
          </w:p>
        </w:tc>
      </w:tr>
      <w:tr w:rsidR="00E610FE" w:rsidRPr="00CB0C73" w:rsidTr="00E610FE">
        <w:trPr>
          <w:trHeight w:val="2282"/>
        </w:trPr>
        <w:tc>
          <w:tcPr>
            <w:tcW w:w="1587" w:type="dxa"/>
            <w:shd w:val="clear" w:color="auto" w:fill="auto"/>
          </w:tcPr>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Catering for diversity</w:t>
            </w:r>
          </w:p>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 Queensland Curriculum and Assessment Authority</w:t>
            </w:r>
          </w:p>
        </w:tc>
        <w:tc>
          <w:tcPr>
            <w:tcW w:w="4802" w:type="dxa"/>
            <w:shd w:val="clear" w:color="auto" w:fill="auto"/>
          </w:tcPr>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w:t>
            </w:r>
            <w:r w:rsidRPr="00CE4E59">
              <w:rPr>
                <w:rFonts w:ascii="Arial" w:hAnsi="Arial" w:cs="Arial"/>
                <w:i/>
              </w:rPr>
              <w:t>The Shape of the Australian Curriculum</w:t>
            </w:r>
            <w:r w:rsidRPr="00341877">
              <w:rPr>
                <w:rFonts w:ascii="Arial" w:hAnsi="Arial" w:cs="Arial"/>
              </w:rPr>
              <w:t xml:space="preserve"> v3.0 (December 2012) describes the ACARA’s commitment to:</w:t>
            </w:r>
          </w:p>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w:t>
            </w:r>
            <w:r w:rsidRPr="00341877">
              <w:rPr>
                <w:rFonts w:ascii="Arial" w:hAnsi="Arial" w:cs="Arial"/>
              </w:rPr>
              <w:tab/>
              <w:t>supporting equity of access to the Australian Curriculum for all learners</w:t>
            </w:r>
          </w:p>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w:t>
            </w:r>
            <w:r w:rsidRPr="00341877">
              <w:rPr>
                <w:rFonts w:ascii="Arial" w:hAnsi="Arial" w:cs="Arial"/>
              </w:rPr>
              <w:tab/>
              <w:t>developing a curriculum that will equip all young Australians with the essential skills, knowledge and capabilities to thrive and compete in a globalised world.</w:t>
            </w:r>
          </w:p>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All young Australians include students with multiple, diverse and changing needs that are shaped by individual learning histories and abilities as well as personal, cultural and language backgrounds and socio-economic factors.’</w:t>
            </w:r>
          </w:p>
        </w:tc>
        <w:tc>
          <w:tcPr>
            <w:tcW w:w="2683" w:type="dxa"/>
            <w:shd w:val="clear" w:color="auto" w:fill="auto"/>
          </w:tcPr>
          <w:p w:rsidR="00E610FE" w:rsidRPr="00341877" w:rsidRDefault="00F416C6" w:rsidP="00341877">
            <w:pPr>
              <w:pStyle w:val="BodyText"/>
              <w:spacing w:line="276" w:lineRule="auto"/>
              <w:ind w:left="152" w:right="159"/>
              <w:rPr>
                <w:rFonts w:ascii="Arial" w:hAnsi="Arial" w:cs="Arial"/>
              </w:rPr>
            </w:pPr>
            <w:hyperlink r:id="rId21">
              <w:r w:rsidR="00E610FE" w:rsidRPr="00341877">
                <w:rPr>
                  <w:rFonts w:ascii="Arial" w:hAnsi="Arial" w:cs="Arial"/>
                  <w:color w:val="0095DA"/>
                  <w:spacing w:val="-1"/>
                  <w:w w:val="90"/>
                </w:rPr>
                <w:t>https://www.qcaa.qld.edu.</w:t>
              </w:r>
            </w:hyperlink>
            <w:r w:rsidR="00E610FE" w:rsidRPr="00341877">
              <w:rPr>
                <w:rFonts w:ascii="Arial" w:hAnsi="Arial" w:cs="Arial"/>
                <w:color w:val="0095DA"/>
                <w:spacing w:val="10"/>
                <w:w w:val="90"/>
              </w:rPr>
              <w:t xml:space="preserve"> </w:t>
            </w:r>
            <w:hyperlink r:id="rId22">
              <w:r w:rsidR="00E610FE" w:rsidRPr="00341877">
                <w:rPr>
                  <w:rFonts w:ascii="Arial" w:hAnsi="Arial" w:cs="Arial"/>
                  <w:color w:val="0095DA"/>
                  <w:w w:val="95"/>
                </w:rPr>
                <w:t>au/p-10/catering-diversity</w:t>
              </w:r>
            </w:hyperlink>
          </w:p>
        </w:tc>
      </w:tr>
      <w:tr w:rsidR="00E610FE" w:rsidRPr="00CE4E59" w:rsidTr="00E610FE">
        <w:trPr>
          <w:trHeight w:val="2282"/>
        </w:trPr>
        <w:tc>
          <w:tcPr>
            <w:tcW w:w="1587" w:type="dxa"/>
            <w:shd w:val="clear" w:color="auto" w:fill="auto"/>
          </w:tcPr>
          <w:p w:rsidR="00E610FE" w:rsidRPr="00341877" w:rsidRDefault="00E610FE" w:rsidP="00341877">
            <w:pPr>
              <w:pStyle w:val="BodyText"/>
              <w:spacing w:line="276" w:lineRule="auto"/>
              <w:ind w:left="152" w:right="159"/>
              <w:rPr>
                <w:rFonts w:ascii="Arial" w:hAnsi="Arial" w:cs="Arial"/>
              </w:rPr>
            </w:pPr>
            <w:r w:rsidRPr="00CE4E59">
              <w:rPr>
                <w:rFonts w:ascii="Arial" w:hAnsi="Arial" w:cs="Arial"/>
              </w:rPr>
              <w:t>Valuing diversity and Inclusive education</w:t>
            </w:r>
          </w:p>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w:t>
            </w:r>
            <w:r w:rsidRPr="00CE4E59">
              <w:rPr>
                <w:rFonts w:ascii="Arial" w:hAnsi="Arial" w:cs="Arial"/>
              </w:rPr>
              <w:t xml:space="preserve"> </w:t>
            </w:r>
            <w:r w:rsidRPr="00341877">
              <w:rPr>
                <w:rFonts w:ascii="Arial" w:hAnsi="Arial" w:cs="Arial"/>
              </w:rPr>
              <w:t>Department</w:t>
            </w:r>
            <w:r w:rsidRPr="00CE4E59">
              <w:rPr>
                <w:rFonts w:ascii="Arial" w:hAnsi="Arial" w:cs="Arial"/>
              </w:rPr>
              <w:t xml:space="preserve"> </w:t>
            </w:r>
            <w:r w:rsidRPr="00341877">
              <w:rPr>
                <w:rFonts w:ascii="Arial" w:hAnsi="Arial" w:cs="Arial"/>
              </w:rPr>
              <w:t>of</w:t>
            </w:r>
            <w:r w:rsidRPr="00CE4E59">
              <w:rPr>
                <w:rFonts w:ascii="Arial" w:hAnsi="Arial" w:cs="Arial"/>
              </w:rPr>
              <w:t xml:space="preserve"> Education and Training (2014)</w:t>
            </w:r>
          </w:p>
        </w:tc>
        <w:tc>
          <w:tcPr>
            <w:tcW w:w="4802" w:type="dxa"/>
            <w:shd w:val="clear" w:color="auto" w:fill="auto"/>
          </w:tcPr>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‘Queensland children come from diverse ethnic and cultural backgrounds, participate in a variety of social, cultural and religious belief systems, and have different knowledge, skills, abilities and needs. They live in different places: in urban, rural or remote areas.’</w:t>
            </w:r>
          </w:p>
          <w:p w:rsidR="00E610FE" w:rsidRPr="00341877" w:rsidRDefault="00E610FE" w:rsidP="00341877">
            <w:pPr>
              <w:pStyle w:val="BodyText"/>
              <w:spacing w:line="276" w:lineRule="auto"/>
              <w:ind w:left="152" w:right="159"/>
              <w:rPr>
                <w:rFonts w:ascii="Arial" w:hAnsi="Arial" w:cs="Arial"/>
              </w:rPr>
            </w:pPr>
            <w:r w:rsidRPr="00341877">
              <w:rPr>
                <w:rFonts w:ascii="Arial" w:hAnsi="Arial" w:cs="Arial"/>
              </w:rPr>
              <w:t>‘Inclusive education ensures that schools are supportive and engaging places for all school community members. It builds communities that value, celebrate and respond to diversity. It is underpinned by respectful relationships between learners and school community members. It is supported by collaborative relationships with parents and communities through communication, learning partnerships, participation and consultative decision-making.’</w:t>
            </w:r>
          </w:p>
        </w:tc>
        <w:tc>
          <w:tcPr>
            <w:tcW w:w="2683" w:type="dxa"/>
            <w:shd w:val="clear" w:color="auto" w:fill="auto"/>
          </w:tcPr>
          <w:p w:rsidR="00E610FE" w:rsidRPr="00CE4E59" w:rsidRDefault="00F416C6" w:rsidP="00CE4E59">
            <w:pPr>
              <w:pStyle w:val="BodyText"/>
              <w:ind w:left="142"/>
              <w:rPr>
                <w:rFonts w:ascii="Arial" w:hAnsi="Arial" w:cs="Arial"/>
                <w:color w:val="0095DA"/>
                <w:w w:val="95"/>
              </w:rPr>
            </w:pPr>
            <w:hyperlink r:id="rId23">
              <w:r w:rsidR="00E610FE" w:rsidRPr="00CE4E59">
                <w:rPr>
                  <w:rFonts w:ascii="Arial" w:hAnsi="Arial" w:cs="Arial"/>
                  <w:color w:val="0095DA"/>
                  <w:w w:val="95"/>
                </w:rPr>
                <w:t>http://deta.qld.gov.au/</w:t>
              </w:r>
            </w:hyperlink>
            <w:hyperlink r:id="rId24">
              <w:r w:rsidR="00E610FE" w:rsidRPr="00CE4E59">
                <w:rPr>
                  <w:rFonts w:ascii="Arial" w:hAnsi="Arial" w:cs="Arial"/>
                  <w:color w:val="0095DA"/>
                  <w:w w:val="95"/>
                </w:rPr>
                <w:t>earlychildhood/service/access-</w:t>
              </w:r>
            </w:hyperlink>
            <w:hyperlink r:id="rId25">
              <w:r w:rsidR="00E610FE" w:rsidRPr="00CE4E59">
                <w:rPr>
                  <w:rFonts w:ascii="Arial" w:hAnsi="Arial" w:cs="Arial"/>
                  <w:color w:val="0095DA"/>
                  <w:w w:val="95"/>
                </w:rPr>
                <w:t>kindy/valuing-diversity.html</w:t>
              </w:r>
            </w:hyperlink>
            <w:r w:rsidR="00CE4E59">
              <w:rPr>
                <w:rFonts w:ascii="Arial" w:hAnsi="Arial" w:cs="Arial"/>
                <w:color w:val="0095DA"/>
                <w:w w:val="95"/>
              </w:rPr>
              <w:t xml:space="preserve"> </w:t>
            </w:r>
          </w:p>
          <w:p w:rsidR="00E610FE" w:rsidRPr="00CE4E59" w:rsidRDefault="00F416C6" w:rsidP="00CE4E59">
            <w:pPr>
              <w:pStyle w:val="BodyText"/>
              <w:ind w:left="142"/>
              <w:rPr>
                <w:rFonts w:ascii="Arial" w:hAnsi="Arial" w:cs="Arial"/>
                <w:color w:val="0095DA"/>
                <w:w w:val="95"/>
                <w:lang w:val="de-DE"/>
              </w:rPr>
            </w:pPr>
            <w:hyperlink r:id="rId26">
              <w:r w:rsidR="00E610FE" w:rsidRPr="00CE4E59">
                <w:rPr>
                  <w:rFonts w:ascii="Arial" w:hAnsi="Arial" w:cs="Arial"/>
                  <w:color w:val="0095DA"/>
                  <w:w w:val="95"/>
                  <w:lang w:val="de-DE"/>
                </w:rPr>
                <w:t>https://oneportal.deta.</w:t>
              </w:r>
            </w:hyperlink>
            <w:hyperlink r:id="rId27">
              <w:r w:rsidR="00E610FE" w:rsidRPr="00CE4E59">
                <w:rPr>
                  <w:rFonts w:ascii="Arial" w:hAnsi="Arial" w:cs="Arial"/>
                  <w:color w:val="0095DA"/>
                  <w:w w:val="95"/>
                  <w:lang w:val="de-DE"/>
                </w:rPr>
                <w:t>qld.gov.au/Students/</w:t>
              </w:r>
            </w:hyperlink>
            <w:hyperlink r:id="rId28">
              <w:r w:rsidR="00E610FE" w:rsidRPr="00CE4E59">
                <w:rPr>
                  <w:rFonts w:ascii="Arial" w:hAnsi="Arial" w:cs="Arial"/>
                  <w:color w:val="0095DA"/>
                  <w:w w:val="95"/>
                  <w:lang w:val="de-DE"/>
                </w:rPr>
                <w:t>InclusiveEducation/Pages/</w:t>
              </w:r>
            </w:hyperlink>
            <w:r w:rsidR="00E610FE" w:rsidRPr="00CE4E59">
              <w:rPr>
                <w:rFonts w:ascii="Arial" w:hAnsi="Arial" w:cs="Arial"/>
                <w:color w:val="0095DA"/>
                <w:w w:val="95"/>
                <w:lang w:val="de-DE"/>
              </w:rPr>
              <w:t xml:space="preserve"> </w:t>
            </w:r>
            <w:hyperlink r:id="rId29">
              <w:r w:rsidR="00E610FE" w:rsidRPr="00CE4E59">
                <w:rPr>
                  <w:rFonts w:ascii="Arial" w:hAnsi="Arial" w:cs="Arial"/>
                  <w:color w:val="0095DA"/>
                  <w:w w:val="95"/>
                  <w:lang w:val="de-DE"/>
                </w:rPr>
                <w:t>Default.aspx</w:t>
              </w:r>
            </w:hyperlink>
            <w:r w:rsidR="00CE4E59" w:rsidRPr="00CE4E59">
              <w:rPr>
                <w:rFonts w:ascii="Arial" w:hAnsi="Arial" w:cs="Arial"/>
                <w:color w:val="0095DA"/>
                <w:w w:val="95"/>
                <w:lang w:val="de-DE"/>
              </w:rPr>
              <w:t xml:space="preserve"> </w:t>
            </w:r>
          </w:p>
          <w:p w:rsidR="00E610FE" w:rsidRPr="00341877" w:rsidRDefault="00F416C6" w:rsidP="00CE4E59">
            <w:pPr>
              <w:pStyle w:val="BodyText"/>
              <w:ind w:left="142"/>
              <w:rPr>
                <w:lang w:val="de-DE"/>
              </w:rPr>
            </w:pPr>
            <w:hyperlink r:id="rId30">
              <w:r w:rsidR="00E610FE" w:rsidRPr="00CE4E59">
                <w:rPr>
                  <w:rFonts w:ascii="Arial" w:hAnsi="Arial" w:cs="Arial"/>
                  <w:color w:val="0095DA"/>
                  <w:w w:val="95"/>
                  <w:lang w:val="de-DE"/>
                </w:rPr>
                <w:t>http://education.qld.gov.au/</w:t>
              </w:r>
            </w:hyperlink>
            <w:hyperlink r:id="rId31">
              <w:r w:rsidR="00E610FE" w:rsidRPr="00CE4E59">
                <w:rPr>
                  <w:rFonts w:ascii="Arial" w:hAnsi="Arial" w:cs="Arial"/>
                  <w:color w:val="0095DA"/>
                  <w:w w:val="95"/>
                  <w:lang w:val="de-DE"/>
                </w:rPr>
                <w:t>schools/inclusive/index.html</w:t>
              </w:r>
            </w:hyperlink>
            <w:r w:rsidR="00CE4E59" w:rsidRPr="00CE4E59">
              <w:rPr>
                <w:rFonts w:ascii="Arial" w:hAnsi="Arial" w:cs="Arial"/>
                <w:color w:val="0095DA"/>
                <w:w w:val="95"/>
                <w:lang w:val="de-DE"/>
              </w:rPr>
              <w:t xml:space="preserve"> </w:t>
            </w:r>
          </w:p>
        </w:tc>
      </w:tr>
    </w:tbl>
    <w:p w:rsidR="00C11F97" w:rsidRPr="00341877" w:rsidRDefault="00E610FE" w:rsidP="00341877">
      <w:pPr>
        <w:pStyle w:val="Heading2"/>
        <w:spacing w:before="240" w:after="240" w:line="276" w:lineRule="auto"/>
        <w:ind w:left="0"/>
        <w:rPr>
          <w:rFonts w:asciiTheme="majorHAnsi" w:eastAsiaTheme="majorEastAsia" w:hAnsiTheme="majorHAnsi" w:cstheme="majorBidi"/>
          <w:b/>
          <w:iCs/>
          <w:color w:val="4F81BD" w:themeColor="accent1"/>
          <w:sz w:val="26"/>
          <w:szCs w:val="26"/>
          <w:lang w:val="en-AU" w:eastAsia="zh-CN"/>
        </w:rPr>
      </w:pPr>
      <w:r w:rsidRPr="00341877">
        <w:rPr>
          <w:rFonts w:asciiTheme="majorHAnsi" w:eastAsiaTheme="majorEastAsia" w:hAnsiTheme="majorHAnsi" w:cstheme="majorBidi"/>
          <w:b/>
          <w:iCs/>
          <w:color w:val="4F81BD" w:themeColor="accent1"/>
          <w:sz w:val="26"/>
          <w:szCs w:val="26"/>
          <w:lang w:val="en-AU" w:eastAsia="zh-CN"/>
        </w:rPr>
        <w:t>Research into practice</w:t>
      </w:r>
    </w:p>
    <w:p w:rsidR="00C11F97" w:rsidRPr="00341877" w:rsidRDefault="00E610FE" w:rsidP="00341877">
      <w:pPr>
        <w:pStyle w:val="BodyText"/>
        <w:spacing w:before="240" w:after="240" w:line="276" w:lineRule="auto"/>
        <w:ind w:left="0"/>
        <w:rPr>
          <w:rFonts w:ascii="Arial" w:hAnsi="Arial" w:cs="Arial"/>
        </w:rPr>
      </w:pPr>
      <w:r w:rsidRPr="00341877">
        <w:rPr>
          <w:rFonts w:ascii="Arial" w:hAnsi="Arial" w:cs="Arial"/>
        </w:rPr>
        <w:t>We know that in relation to transition to school, it is also important to consider continuity of learning. Research highlights that in the area of inclusive transitions, Prep teachers and</w:t>
      </w:r>
      <w:r w:rsidR="00341877" w:rsidRPr="00341877">
        <w:rPr>
          <w:rFonts w:ascii="Arial" w:hAnsi="Arial" w:cs="Arial"/>
        </w:rPr>
        <w:t xml:space="preserve"> </w:t>
      </w:r>
      <w:r w:rsidRPr="00341877">
        <w:rPr>
          <w:rFonts w:ascii="Arial" w:hAnsi="Arial" w:cs="Arial"/>
        </w:rPr>
        <w:t>early childhood educators can work collaboratively with each other and their community to ensure that there is continuity in teaching practice and pedagogy.</w:t>
      </w:r>
    </w:p>
    <w:p w:rsidR="00C11F97" w:rsidRPr="00341877" w:rsidRDefault="00E610FE" w:rsidP="00341877">
      <w:pPr>
        <w:pStyle w:val="BodyText"/>
        <w:spacing w:before="240" w:after="240" w:line="276" w:lineRule="auto"/>
        <w:ind w:left="0"/>
        <w:rPr>
          <w:rFonts w:ascii="Arial" w:hAnsi="Arial" w:cs="Arial"/>
        </w:rPr>
      </w:pPr>
      <w:r w:rsidRPr="00341877">
        <w:rPr>
          <w:rFonts w:ascii="Arial" w:hAnsi="Arial" w:cs="Arial"/>
        </w:rPr>
        <w:t xml:space="preserve">‘Enacting inclusion principles means </w:t>
      </w:r>
      <w:proofErr w:type="spellStart"/>
      <w:r w:rsidRPr="00341877">
        <w:rPr>
          <w:rFonts w:ascii="Arial" w:hAnsi="Arial" w:cs="Arial"/>
        </w:rPr>
        <w:t>personalising</w:t>
      </w:r>
      <w:proofErr w:type="spellEnd"/>
      <w:r w:rsidRPr="00341877">
        <w:rPr>
          <w:rFonts w:ascii="Arial" w:hAnsi="Arial" w:cs="Arial"/>
        </w:rPr>
        <w:t xml:space="preserve"> transition- to-school programs in ways that build confidence in individual children and families with diverse characteristics, abilities and</w:t>
      </w:r>
      <w:r w:rsidR="00341877" w:rsidRPr="00341877">
        <w:rPr>
          <w:rFonts w:ascii="Arial" w:hAnsi="Arial" w:cs="Arial"/>
        </w:rPr>
        <w:t xml:space="preserve"> </w:t>
      </w:r>
      <w:r w:rsidRPr="00341877">
        <w:rPr>
          <w:rFonts w:ascii="Arial" w:hAnsi="Arial" w:cs="Arial"/>
        </w:rPr>
        <w:t xml:space="preserve">backgrounds. This means taking time to understand the children and families in the community, so as to </w:t>
      </w:r>
      <w:proofErr w:type="spellStart"/>
      <w:r w:rsidRPr="00341877">
        <w:rPr>
          <w:rFonts w:ascii="Arial" w:hAnsi="Arial" w:cs="Arial"/>
        </w:rPr>
        <w:t>personalise</w:t>
      </w:r>
      <w:proofErr w:type="spellEnd"/>
      <w:r w:rsidRPr="00341877">
        <w:rPr>
          <w:rFonts w:ascii="Arial" w:hAnsi="Arial" w:cs="Arial"/>
        </w:rPr>
        <w:t xml:space="preserve"> transition by building on their prior experiences, strengths, relationships and aspirations’ (Petriwskyj, 2016)</w:t>
      </w:r>
    </w:p>
    <w:p w:rsidR="00C11F97" w:rsidRPr="00341877" w:rsidRDefault="00E610FE" w:rsidP="00341877">
      <w:pPr>
        <w:pStyle w:val="BodyText"/>
        <w:spacing w:before="80" w:line="276" w:lineRule="auto"/>
        <w:ind w:left="0" w:right="845"/>
        <w:rPr>
          <w:rFonts w:ascii="Arial" w:hAnsi="Arial" w:cs="Arial"/>
        </w:rPr>
      </w:pPr>
      <w:r w:rsidRPr="00341877">
        <w:rPr>
          <w:rFonts w:ascii="Arial" w:hAnsi="Arial" w:cs="Arial"/>
        </w:rPr>
        <w:t>The key to successful transition strategies is to build understandings and work towards practices that include and value all. Here are a few starting ideas to support your school to foster an inclusive learning environment:</w:t>
      </w:r>
    </w:p>
    <w:p w:rsidR="00C11F97" w:rsidRPr="00341877" w:rsidRDefault="00C11F97" w:rsidP="00341877">
      <w:pPr>
        <w:spacing w:before="7"/>
        <w:rPr>
          <w:rFonts w:ascii="Arial" w:eastAsia="Trebuchet MS" w:hAnsi="Arial" w:cs="Arial"/>
          <w:sz w:val="18"/>
          <w:szCs w:val="18"/>
        </w:rPr>
      </w:pPr>
    </w:p>
    <w:p w:rsidR="00C11F97" w:rsidRPr="00341877" w:rsidRDefault="00E610FE" w:rsidP="00341877">
      <w:pPr>
        <w:pStyle w:val="ListParagraph"/>
        <w:numPr>
          <w:ilvl w:val="0"/>
          <w:numId w:val="1"/>
        </w:numPr>
        <w:tabs>
          <w:tab w:val="left" w:pos="677"/>
        </w:tabs>
        <w:spacing w:line="276" w:lineRule="auto"/>
        <w:ind w:right="845"/>
        <w:rPr>
          <w:rFonts w:ascii="Arial" w:eastAsia="Trebuchet MS" w:hAnsi="Arial" w:cs="Arial"/>
          <w:sz w:val="18"/>
          <w:szCs w:val="18"/>
        </w:rPr>
      </w:pPr>
      <w:r w:rsidRPr="00341877">
        <w:rPr>
          <w:rFonts w:ascii="Arial" w:eastAsia="Trebuchet MS" w:hAnsi="Arial" w:cs="Arial"/>
          <w:sz w:val="18"/>
          <w:szCs w:val="18"/>
        </w:rPr>
        <w:t>become familiar with and discuss the department’s position on diversity, inclusive education and transition to school with your networks</w:t>
      </w:r>
    </w:p>
    <w:p w:rsidR="00C11F97" w:rsidRPr="00341877" w:rsidRDefault="00E610FE" w:rsidP="00341877">
      <w:pPr>
        <w:pStyle w:val="ListParagraph"/>
        <w:numPr>
          <w:ilvl w:val="0"/>
          <w:numId w:val="1"/>
        </w:numPr>
        <w:tabs>
          <w:tab w:val="left" w:pos="677"/>
        </w:tabs>
        <w:spacing w:before="56" w:line="276" w:lineRule="auto"/>
        <w:ind w:right="959"/>
        <w:rPr>
          <w:rFonts w:ascii="Arial" w:eastAsia="Trebuchet MS" w:hAnsi="Arial" w:cs="Arial"/>
          <w:sz w:val="18"/>
          <w:szCs w:val="18"/>
        </w:rPr>
      </w:pPr>
      <w:r w:rsidRPr="00341877">
        <w:rPr>
          <w:rFonts w:ascii="Arial" w:eastAsia="Trebuchet MS" w:hAnsi="Arial" w:cs="Arial"/>
          <w:sz w:val="18"/>
          <w:szCs w:val="18"/>
        </w:rPr>
        <w:lastRenderedPageBreak/>
        <w:t>critically reflect and engage in professional conversations to assist teachers in aligning transition strategies</w:t>
      </w:r>
    </w:p>
    <w:p w:rsidR="00C11F97" w:rsidRPr="00341877" w:rsidRDefault="00E610FE" w:rsidP="00341877">
      <w:pPr>
        <w:pStyle w:val="ListParagraph"/>
        <w:numPr>
          <w:ilvl w:val="0"/>
          <w:numId w:val="1"/>
        </w:numPr>
        <w:tabs>
          <w:tab w:val="left" w:pos="677"/>
        </w:tabs>
        <w:spacing w:before="56" w:line="276" w:lineRule="auto"/>
        <w:ind w:right="1185"/>
        <w:rPr>
          <w:rFonts w:ascii="Arial" w:eastAsia="Trebuchet MS" w:hAnsi="Arial" w:cs="Arial"/>
          <w:sz w:val="18"/>
          <w:szCs w:val="18"/>
        </w:rPr>
      </w:pPr>
      <w:r w:rsidRPr="00341877">
        <w:rPr>
          <w:rFonts w:ascii="Arial" w:eastAsia="Trebuchet MS" w:hAnsi="Arial" w:cs="Arial"/>
          <w:sz w:val="18"/>
          <w:szCs w:val="18"/>
        </w:rPr>
        <w:t>co-design transition strategies with children and their families, empowering them in the process and building a sense of belonging well before the first day of Prep</w:t>
      </w:r>
    </w:p>
    <w:p w:rsidR="00C11F97" w:rsidRPr="00341877" w:rsidRDefault="00E610FE" w:rsidP="00341877">
      <w:pPr>
        <w:pStyle w:val="ListParagraph"/>
        <w:numPr>
          <w:ilvl w:val="0"/>
          <w:numId w:val="1"/>
        </w:numPr>
        <w:tabs>
          <w:tab w:val="left" w:pos="677"/>
        </w:tabs>
        <w:spacing w:before="56" w:line="276" w:lineRule="auto"/>
        <w:ind w:right="1175"/>
        <w:rPr>
          <w:rFonts w:ascii="Arial" w:eastAsia="Trebuchet MS" w:hAnsi="Arial" w:cs="Arial"/>
          <w:sz w:val="18"/>
          <w:szCs w:val="18"/>
        </w:rPr>
      </w:pPr>
      <w:r w:rsidRPr="00341877">
        <w:rPr>
          <w:rFonts w:ascii="Arial" w:eastAsia="Trebuchet MS" w:hAnsi="Arial" w:cs="Arial"/>
          <w:sz w:val="18"/>
          <w:szCs w:val="18"/>
        </w:rPr>
        <w:t>consult with families, local early childhood services, Aboriginal and Torres Strait Islander Elders, community leaders and Transition and Partnerships and Innovation officers to ensure your transition-to-school strategies suit all children</w:t>
      </w:r>
    </w:p>
    <w:p w:rsidR="00C11F97" w:rsidRPr="00341877" w:rsidRDefault="00E610FE" w:rsidP="00341877">
      <w:pPr>
        <w:pStyle w:val="ListParagraph"/>
        <w:numPr>
          <w:ilvl w:val="0"/>
          <w:numId w:val="1"/>
        </w:numPr>
        <w:tabs>
          <w:tab w:val="left" w:pos="677"/>
        </w:tabs>
        <w:spacing w:before="56" w:line="276" w:lineRule="auto"/>
        <w:ind w:right="840"/>
        <w:rPr>
          <w:rFonts w:ascii="Arial" w:eastAsia="Trebuchet MS" w:hAnsi="Arial" w:cs="Arial"/>
          <w:sz w:val="18"/>
          <w:szCs w:val="18"/>
        </w:rPr>
      </w:pPr>
      <w:proofErr w:type="gramStart"/>
      <w:r w:rsidRPr="00341877">
        <w:rPr>
          <w:rFonts w:ascii="Arial" w:eastAsia="Trebuchet MS" w:hAnsi="Arial" w:cs="Arial"/>
          <w:sz w:val="18"/>
          <w:szCs w:val="18"/>
        </w:rPr>
        <w:t>use</w:t>
      </w:r>
      <w:proofErr w:type="gramEnd"/>
      <w:r w:rsidRPr="00341877">
        <w:rPr>
          <w:rFonts w:ascii="Arial" w:eastAsia="Trebuchet MS" w:hAnsi="Arial" w:cs="Arial"/>
          <w:sz w:val="18"/>
          <w:szCs w:val="18"/>
        </w:rPr>
        <w:t xml:space="preserve"> the matrix (pages 11 – 13) in the </w:t>
      </w:r>
      <w:r w:rsidRPr="00341877">
        <w:rPr>
          <w:rFonts w:ascii="Arial" w:eastAsia="Trebuchet MS" w:hAnsi="Arial" w:cs="Arial"/>
          <w:i/>
          <w:sz w:val="18"/>
          <w:szCs w:val="18"/>
        </w:rPr>
        <w:t>Supporting successful transitions: School decision-making tool</w:t>
      </w:r>
      <w:r w:rsidRPr="00341877">
        <w:rPr>
          <w:rFonts w:ascii="Arial" w:eastAsia="Trebuchet MS" w:hAnsi="Arial" w:cs="Arial"/>
          <w:sz w:val="18"/>
          <w:szCs w:val="18"/>
        </w:rPr>
        <w:t xml:space="preserve"> to reflect on whether your transition to school strategies are school-</w:t>
      </w:r>
      <w:proofErr w:type="spellStart"/>
      <w:r w:rsidRPr="00341877">
        <w:rPr>
          <w:rFonts w:ascii="Arial" w:eastAsia="Trebuchet MS" w:hAnsi="Arial" w:cs="Arial"/>
          <w:sz w:val="18"/>
          <w:szCs w:val="18"/>
        </w:rPr>
        <w:t>centred</w:t>
      </w:r>
      <w:proofErr w:type="spellEnd"/>
      <w:r w:rsidRPr="00341877">
        <w:rPr>
          <w:rFonts w:ascii="Arial" w:eastAsia="Trebuchet MS" w:hAnsi="Arial" w:cs="Arial"/>
          <w:sz w:val="18"/>
          <w:szCs w:val="18"/>
        </w:rPr>
        <w:t>, consultative or collaborative.</w:t>
      </w:r>
    </w:p>
    <w:p w:rsidR="00C11F97" w:rsidRPr="00CB0C73" w:rsidRDefault="00C11F97">
      <w:pPr>
        <w:spacing w:line="276" w:lineRule="auto"/>
        <w:rPr>
          <w:rFonts w:ascii="Arial" w:eastAsia="Trebuchet MS" w:hAnsi="Arial" w:cs="Arial"/>
          <w:sz w:val="18"/>
          <w:szCs w:val="18"/>
        </w:rPr>
        <w:sectPr w:rsidR="00C11F97" w:rsidRPr="00CB0C73" w:rsidSect="00CB0C73">
          <w:type w:val="continuous"/>
          <w:pgSz w:w="11910" w:h="16840"/>
          <w:pgMar w:top="1440" w:right="1440" w:bottom="1440" w:left="1440" w:header="720" w:footer="720" w:gutter="0"/>
          <w:cols w:space="720"/>
          <w:docGrid w:linePitch="299"/>
        </w:sectPr>
      </w:pPr>
    </w:p>
    <w:p w:rsidR="00C11F97" w:rsidRPr="00341877" w:rsidRDefault="00E610FE" w:rsidP="00341877">
      <w:pPr>
        <w:pStyle w:val="BodyText"/>
        <w:spacing w:before="240" w:after="240" w:line="276" w:lineRule="auto"/>
        <w:ind w:left="0"/>
        <w:rPr>
          <w:rFonts w:asciiTheme="majorHAnsi" w:eastAsiaTheme="majorEastAsia" w:hAnsiTheme="majorHAnsi" w:cstheme="majorBidi"/>
          <w:b/>
          <w:iCs/>
          <w:color w:val="4F81BD" w:themeColor="accent1"/>
          <w:sz w:val="26"/>
          <w:szCs w:val="26"/>
          <w:lang w:val="en-AU" w:eastAsia="zh-CN"/>
        </w:rPr>
      </w:pPr>
      <w:r w:rsidRPr="00341877">
        <w:rPr>
          <w:rFonts w:asciiTheme="majorHAnsi" w:eastAsiaTheme="majorEastAsia" w:hAnsiTheme="majorHAnsi" w:cstheme="majorBidi"/>
          <w:b/>
          <w:iCs/>
          <w:color w:val="4F81BD" w:themeColor="accent1"/>
          <w:sz w:val="26"/>
          <w:szCs w:val="26"/>
          <w:lang w:val="en-AU" w:eastAsia="zh-CN"/>
        </w:rPr>
        <w:lastRenderedPageBreak/>
        <w:t>More support</w:t>
      </w:r>
    </w:p>
    <w:p w:rsidR="00C11F97" w:rsidRPr="00341877" w:rsidRDefault="00E610FE" w:rsidP="00341877">
      <w:pPr>
        <w:pStyle w:val="BodyText"/>
        <w:spacing w:before="240" w:after="240" w:line="276" w:lineRule="auto"/>
        <w:ind w:left="0"/>
        <w:rPr>
          <w:rFonts w:ascii="Arial" w:hAnsi="Arial" w:cs="Arial"/>
        </w:rPr>
      </w:pPr>
      <w:r w:rsidRPr="00341877">
        <w:rPr>
          <w:rFonts w:ascii="Arial" w:hAnsi="Arial" w:cs="Arial"/>
        </w:rPr>
        <w:t>For</w:t>
      </w:r>
      <w:r w:rsidRPr="00341877">
        <w:rPr>
          <w:rFonts w:ascii="Arial" w:hAnsi="Arial" w:cs="Arial"/>
          <w:spacing w:val="-26"/>
        </w:rPr>
        <w:t xml:space="preserve"> </w:t>
      </w:r>
      <w:r w:rsidRPr="00341877">
        <w:rPr>
          <w:rFonts w:ascii="Arial" w:hAnsi="Arial" w:cs="Arial"/>
        </w:rPr>
        <w:t>contact</w:t>
      </w:r>
      <w:r w:rsidRPr="00341877">
        <w:rPr>
          <w:rFonts w:ascii="Arial" w:hAnsi="Arial" w:cs="Arial"/>
          <w:spacing w:val="-27"/>
        </w:rPr>
        <w:t xml:space="preserve"> </w:t>
      </w:r>
      <w:r w:rsidRPr="00341877">
        <w:rPr>
          <w:rFonts w:ascii="Arial" w:hAnsi="Arial" w:cs="Arial"/>
        </w:rPr>
        <w:t>details</w:t>
      </w:r>
      <w:r w:rsidRPr="00341877">
        <w:rPr>
          <w:rFonts w:ascii="Arial" w:hAnsi="Arial" w:cs="Arial"/>
          <w:spacing w:val="-27"/>
        </w:rPr>
        <w:t xml:space="preserve"> </w:t>
      </w:r>
      <w:r w:rsidRPr="00341877">
        <w:rPr>
          <w:rFonts w:ascii="Arial" w:hAnsi="Arial" w:cs="Arial"/>
        </w:rPr>
        <w:t>for</w:t>
      </w:r>
      <w:r w:rsidRPr="00341877">
        <w:rPr>
          <w:rFonts w:ascii="Arial" w:hAnsi="Arial" w:cs="Arial"/>
          <w:spacing w:val="-27"/>
        </w:rPr>
        <w:t xml:space="preserve"> </w:t>
      </w:r>
      <w:r w:rsidRPr="00341877">
        <w:rPr>
          <w:rFonts w:ascii="Arial" w:hAnsi="Arial" w:cs="Arial"/>
        </w:rPr>
        <w:t>your</w:t>
      </w:r>
      <w:r w:rsidRPr="00341877">
        <w:rPr>
          <w:rFonts w:ascii="Arial" w:hAnsi="Arial" w:cs="Arial"/>
          <w:spacing w:val="-26"/>
        </w:rPr>
        <w:t xml:space="preserve"> </w:t>
      </w:r>
      <w:r w:rsidRPr="00341877">
        <w:rPr>
          <w:rFonts w:ascii="Arial" w:hAnsi="Arial" w:cs="Arial"/>
        </w:rPr>
        <w:t>region’s</w:t>
      </w:r>
      <w:r w:rsidRPr="00341877">
        <w:rPr>
          <w:rFonts w:ascii="Arial" w:hAnsi="Arial" w:cs="Arial"/>
          <w:spacing w:val="-30"/>
        </w:rPr>
        <w:t xml:space="preserve"> </w:t>
      </w:r>
      <w:r w:rsidRPr="00341877">
        <w:rPr>
          <w:rFonts w:ascii="Arial" w:hAnsi="Arial" w:cs="Arial"/>
        </w:rPr>
        <w:t>Transition</w:t>
      </w:r>
      <w:r w:rsidRPr="00341877">
        <w:rPr>
          <w:rFonts w:ascii="Arial" w:hAnsi="Arial" w:cs="Arial"/>
          <w:spacing w:val="-26"/>
        </w:rPr>
        <w:t xml:space="preserve"> </w:t>
      </w:r>
      <w:r w:rsidRPr="00341877">
        <w:rPr>
          <w:rFonts w:ascii="Arial" w:hAnsi="Arial" w:cs="Arial"/>
        </w:rPr>
        <w:t>and</w:t>
      </w:r>
      <w:r w:rsidRPr="00341877">
        <w:rPr>
          <w:rFonts w:ascii="Arial" w:hAnsi="Arial" w:cs="Arial"/>
          <w:w w:val="99"/>
        </w:rPr>
        <w:t xml:space="preserve"> </w:t>
      </w:r>
      <w:r w:rsidRPr="00341877">
        <w:rPr>
          <w:rFonts w:ascii="Arial" w:hAnsi="Arial" w:cs="Arial"/>
        </w:rPr>
        <w:t>Partnerships</w:t>
      </w:r>
      <w:r w:rsidRPr="00341877">
        <w:rPr>
          <w:rFonts w:ascii="Arial" w:hAnsi="Arial" w:cs="Arial"/>
          <w:spacing w:val="-20"/>
        </w:rPr>
        <w:t xml:space="preserve"> </w:t>
      </w:r>
      <w:r w:rsidRPr="00341877">
        <w:rPr>
          <w:rFonts w:ascii="Arial" w:hAnsi="Arial" w:cs="Arial"/>
        </w:rPr>
        <w:t>and</w:t>
      </w:r>
      <w:r w:rsidRPr="00341877">
        <w:rPr>
          <w:rFonts w:ascii="Arial" w:hAnsi="Arial" w:cs="Arial"/>
          <w:spacing w:val="-18"/>
        </w:rPr>
        <w:t xml:space="preserve"> </w:t>
      </w:r>
      <w:r w:rsidRPr="00341877">
        <w:rPr>
          <w:rFonts w:ascii="Arial" w:hAnsi="Arial" w:cs="Arial"/>
        </w:rPr>
        <w:t>Innovation</w:t>
      </w:r>
      <w:r w:rsidRPr="00341877">
        <w:rPr>
          <w:rFonts w:ascii="Arial" w:hAnsi="Arial" w:cs="Arial"/>
          <w:spacing w:val="-18"/>
        </w:rPr>
        <w:t xml:space="preserve"> </w:t>
      </w:r>
      <w:r w:rsidRPr="00341877">
        <w:rPr>
          <w:rFonts w:ascii="Arial" w:hAnsi="Arial" w:cs="Arial"/>
        </w:rPr>
        <w:t>officers</w:t>
      </w:r>
      <w:r w:rsidRPr="00341877">
        <w:rPr>
          <w:rFonts w:ascii="Arial" w:hAnsi="Arial" w:cs="Arial"/>
          <w:spacing w:val="-22"/>
        </w:rPr>
        <w:t xml:space="preserve"> </w:t>
      </w:r>
      <w:r w:rsidRPr="00341877">
        <w:rPr>
          <w:rFonts w:ascii="Arial" w:hAnsi="Arial" w:cs="Arial"/>
        </w:rPr>
        <w:t>visit:</w:t>
      </w:r>
      <w:r w:rsidRPr="00341877">
        <w:rPr>
          <w:rFonts w:ascii="Arial" w:hAnsi="Arial" w:cs="Arial"/>
          <w:w w:val="82"/>
        </w:rPr>
        <w:t xml:space="preserve"> </w:t>
      </w:r>
      <w:hyperlink r:id="rId32">
        <w:r w:rsidRPr="00341877">
          <w:rPr>
            <w:rFonts w:ascii="Arial" w:hAnsi="Arial" w:cs="Arial"/>
            <w:color w:val="0095DA"/>
            <w:spacing w:val="-4"/>
          </w:rPr>
          <w:t>https://oneportal.deta.qld.gov.au/earlychildhood/</w:t>
        </w:r>
      </w:hyperlink>
      <w:r w:rsidRPr="00341877">
        <w:rPr>
          <w:rFonts w:ascii="Arial" w:hAnsi="Arial" w:cs="Arial"/>
          <w:color w:val="0095DA"/>
          <w:spacing w:val="-2"/>
          <w:w w:val="98"/>
        </w:rPr>
        <w:t xml:space="preserve"> </w:t>
      </w:r>
      <w:hyperlink r:id="rId33">
        <w:proofErr w:type="spellStart"/>
        <w:r w:rsidRPr="00341877">
          <w:rPr>
            <w:rFonts w:ascii="Arial" w:hAnsi="Arial" w:cs="Arial"/>
            <w:color w:val="0095DA"/>
            <w:spacing w:val="-4"/>
            <w:w w:val="95"/>
          </w:rPr>
          <w:t>forschools</w:t>
        </w:r>
        <w:proofErr w:type="spellEnd"/>
        <w:r w:rsidRPr="00341877">
          <w:rPr>
            <w:rFonts w:ascii="Arial" w:hAnsi="Arial" w:cs="Arial"/>
            <w:color w:val="0095DA"/>
            <w:spacing w:val="-4"/>
            <w:w w:val="95"/>
          </w:rPr>
          <w:t>/Pages/Transitiontoschoolsupportcontacts.aspx</w:t>
        </w:r>
      </w:hyperlink>
    </w:p>
    <w:p w:rsidR="00C11F97" w:rsidRPr="00341877" w:rsidRDefault="00E610FE" w:rsidP="00341877">
      <w:pPr>
        <w:pStyle w:val="BodyText"/>
        <w:spacing w:before="240" w:after="240" w:line="276" w:lineRule="auto"/>
        <w:ind w:left="0"/>
        <w:rPr>
          <w:rFonts w:ascii="Arial" w:hAnsi="Arial" w:cs="Arial"/>
        </w:rPr>
      </w:pPr>
      <w:r w:rsidRPr="00341877">
        <w:rPr>
          <w:rFonts w:ascii="Arial" w:hAnsi="Arial" w:cs="Arial"/>
        </w:rPr>
        <w:t>For</w:t>
      </w:r>
      <w:r w:rsidR="00CE4E59" w:rsidRPr="00CE4E59">
        <w:rPr>
          <w:rFonts w:ascii="Arial" w:hAnsi="Arial" w:cs="Arial"/>
        </w:rPr>
        <w:t xml:space="preserve"> </w:t>
      </w:r>
      <w:r w:rsidRPr="00341877">
        <w:rPr>
          <w:rFonts w:ascii="Arial" w:hAnsi="Arial" w:cs="Arial"/>
        </w:rPr>
        <w:t>more</w:t>
      </w:r>
      <w:r w:rsidR="00CE4E59">
        <w:rPr>
          <w:rFonts w:ascii="Arial" w:hAnsi="Arial" w:cs="Arial"/>
        </w:rPr>
        <w:t xml:space="preserve"> </w:t>
      </w:r>
      <w:r w:rsidRPr="00341877">
        <w:rPr>
          <w:rFonts w:ascii="Arial" w:hAnsi="Arial" w:cs="Arial"/>
        </w:rPr>
        <w:t>information</w:t>
      </w:r>
      <w:r w:rsidR="00CE4E59">
        <w:rPr>
          <w:rFonts w:ascii="Arial" w:hAnsi="Arial" w:cs="Arial"/>
        </w:rPr>
        <w:t xml:space="preserve"> </w:t>
      </w:r>
      <w:r w:rsidRPr="00341877">
        <w:rPr>
          <w:rFonts w:ascii="Arial" w:hAnsi="Arial" w:cs="Arial"/>
        </w:rPr>
        <w:t>and</w:t>
      </w:r>
      <w:r w:rsidR="00CE4E59">
        <w:rPr>
          <w:rFonts w:ascii="Arial" w:hAnsi="Arial" w:cs="Arial"/>
        </w:rPr>
        <w:t xml:space="preserve"> </w:t>
      </w:r>
      <w:r w:rsidRPr="00341877">
        <w:rPr>
          <w:rFonts w:ascii="Arial" w:hAnsi="Arial" w:cs="Arial"/>
        </w:rPr>
        <w:t>resources</w:t>
      </w:r>
      <w:r w:rsidRPr="00CE4E59">
        <w:rPr>
          <w:rFonts w:ascii="Arial" w:hAnsi="Arial" w:cs="Arial"/>
        </w:rPr>
        <w:t xml:space="preserve"> </w:t>
      </w:r>
      <w:r w:rsidRPr="00341877">
        <w:rPr>
          <w:rFonts w:ascii="Arial" w:hAnsi="Arial" w:cs="Arial"/>
        </w:rPr>
        <w:t>on</w:t>
      </w:r>
      <w:r w:rsidRPr="00CE4E59">
        <w:rPr>
          <w:rFonts w:ascii="Arial" w:hAnsi="Arial" w:cs="Arial"/>
        </w:rPr>
        <w:t xml:space="preserve"> </w:t>
      </w:r>
      <w:r w:rsidRPr="00341877">
        <w:rPr>
          <w:rFonts w:ascii="Arial" w:hAnsi="Arial" w:cs="Arial"/>
        </w:rPr>
        <w:t>supporting successful transitions</w:t>
      </w:r>
      <w:r w:rsidRPr="00CE4E59">
        <w:rPr>
          <w:rFonts w:ascii="Arial" w:hAnsi="Arial" w:cs="Arial"/>
        </w:rPr>
        <w:t xml:space="preserve"> </w:t>
      </w:r>
      <w:r w:rsidRPr="00341877">
        <w:rPr>
          <w:rFonts w:ascii="Arial" w:hAnsi="Arial" w:cs="Arial"/>
        </w:rPr>
        <w:t>visit:</w:t>
      </w:r>
      <w:r w:rsidRPr="00341877">
        <w:rPr>
          <w:rFonts w:ascii="Arial" w:hAnsi="Arial" w:cs="Arial"/>
          <w:w w:val="82"/>
        </w:rPr>
        <w:t xml:space="preserve"> </w:t>
      </w:r>
      <w:hyperlink r:id="rId34">
        <w:r w:rsidRPr="00341877">
          <w:rPr>
            <w:rFonts w:ascii="Arial" w:hAnsi="Arial" w:cs="Arial"/>
            <w:color w:val="0095DA"/>
          </w:rPr>
          <w:t>www.qld.gov.au/transitiontoschool</w:t>
        </w:r>
      </w:hyperlink>
    </w:p>
    <w:p w:rsidR="00C11F97" w:rsidRPr="00CE4E59" w:rsidRDefault="00E610FE" w:rsidP="00341877">
      <w:pPr>
        <w:pStyle w:val="BodyText"/>
        <w:spacing w:before="240" w:after="240" w:line="276" w:lineRule="auto"/>
        <w:ind w:left="0"/>
        <w:rPr>
          <w:rFonts w:ascii="Arial" w:hAnsi="Arial" w:cs="Arial"/>
        </w:rPr>
      </w:pPr>
      <w:r w:rsidRPr="00CE4E59">
        <w:rPr>
          <w:rFonts w:ascii="Arial" w:hAnsi="Arial" w:cs="Arial"/>
        </w:rPr>
        <w:t xml:space="preserve">Reference: Dockett, S. &amp; Perry, B. (2014). </w:t>
      </w:r>
      <w:r w:rsidRPr="00CE4E59">
        <w:rPr>
          <w:rFonts w:ascii="Arial" w:hAnsi="Arial" w:cs="Arial"/>
          <w:i/>
        </w:rPr>
        <w:t>Continuity of Learning: A  resource  to  support  effective  transition  to  school  and  school age care</w:t>
      </w:r>
      <w:r w:rsidRPr="00CE4E59">
        <w:rPr>
          <w:rFonts w:ascii="Arial" w:hAnsi="Arial" w:cs="Arial"/>
        </w:rPr>
        <w:t>. Canberra, ACT: Australian Government Department</w:t>
      </w:r>
      <w:r w:rsidR="00341877" w:rsidRPr="00CE4E59">
        <w:rPr>
          <w:rFonts w:ascii="Arial" w:hAnsi="Arial" w:cs="Arial"/>
        </w:rPr>
        <w:t xml:space="preserve"> </w:t>
      </w:r>
      <w:r w:rsidRPr="00CE4E59">
        <w:rPr>
          <w:rFonts w:ascii="Arial" w:hAnsi="Arial" w:cs="Arial"/>
        </w:rPr>
        <w:t>of Education.</w:t>
      </w:r>
    </w:p>
    <w:p w:rsidR="00CE4E59" w:rsidRPr="00CE4E59" w:rsidRDefault="00CE4E59" w:rsidP="00341877">
      <w:pPr>
        <w:pStyle w:val="BodyText"/>
        <w:spacing w:before="240" w:after="240" w:line="276" w:lineRule="auto"/>
        <w:ind w:left="0"/>
        <w:rPr>
          <w:rFonts w:ascii="Arial" w:hAnsi="Arial" w:cs="Arial"/>
        </w:rPr>
      </w:pPr>
      <w:r w:rsidRPr="00CE4E59">
        <w:rPr>
          <w:rFonts w:ascii="Arial" w:hAnsi="Arial" w:cs="Arial"/>
        </w:rPr>
        <w:t>Information correct at time of publication, August 2016.</w:t>
      </w:r>
    </w:p>
    <w:sectPr w:rsidR="00CE4E59" w:rsidRPr="00CE4E59" w:rsidSect="00CB0C73">
      <w:type w:val="continuous"/>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318D"/>
    <w:multiLevelType w:val="hybridMultilevel"/>
    <w:tmpl w:val="7B26FAE4"/>
    <w:lvl w:ilvl="0" w:tplc="80968CDE">
      <w:start w:val="1"/>
      <w:numFmt w:val="bullet"/>
      <w:lvlText w:val="•"/>
      <w:lvlJc w:val="left"/>
      <w:pPr>
        <w:ind w:left="296" w:hanging="227"/>
      </w:pPr>
      <w:rPr>
        <w:rFonts w:ascii="Trebuchet MS" w:eastAsia="Trebuchet MS" w:hAnsi="Trebuchet MS" w:hint="default"/>
        <w:w w:val="98"/>
        <w:sz w:val="16"/>
        <w:szCs w:val="16"/>
      </w:rPr>
    </w:lvl>
    <w:lvl w:ilvl="1" w:tplc="9B5248D6">
      <w:start w:val="1"/>
      <w:numFmt w:val="bullet"/>
      <w:lvlText w:val="•"/>
      <w:lvlJc w:val="left"/>
      <w:pPr>
        <w:ind w:left="914" w:hanging="227"/>
      </w:pPr>
      <w:rPr>
        <w:rFonts w:hint="default"/>
      </w:rPr>
    </w:lvl>
    <w:lvl w:ilvl="2" w:tplc="A44A4A3E">
      <w:start w:val="1"/>
      <w:numFmt w:val="bullet"/>
      <w:lvlText w:val="•"/>
      <w:lvlJc w:val="left"/>
      <w:pPr>
        <w:ind w:left="1528" w:hanging="227"/>
      </w:pPr>
      <w:rPr>
        <w:rFonts w:hint="default"/>
      </w:rPr>
    </w:lvl>
    <w:lvl w:ilvl="3" w:tplc="C38C48FC">
      <w:start w:val="1"/>
      <w:numFmt w:val="bullet"/>
      <w:lvlText w:val="•"/>
      <w:lvlJc w:val="left"/>
      <w:pPr>
        <w:ind w:left="2142" w:hanging="227"/>
      </w:pPr>
      <w:rPr>
        <w:rFonts w:hint="default"/>
      </w:rPr>
    </w:lvl>
    <w:lvl w:ilvl="4" w:tplc="611AB6A0">
      <w:start w:val="1"/>
      <w:numFmt w:val="bullet"/>
      <w:lvlText w:val="•"/>
      <w:lvlJc w:val="left"/>
      <w:pPr>
        <w:ind w:left="2757" w:hanging="227"/>
      </w:pPr>
      <w:rPr>
        <w:rFonts w:hint="default"/>
      </w:rPr>
    </w:lvl>
    <w:lvl w:ilvl="5" w:tplc="A1A60A5C">
      <w:start w:val="1"/>
      <w:numFmt w:val="bullet"/>
      <w:lvlText w:val="•"/>
      <w:lvlJc w:val="left"/>
      <w:pPr>
        <w:ind w:left="3371" w:hanging="227"/>
      </w:pPr>
      <w:rPr>
        <w:rFonts w:hint="default"/>
      </w:rPr>
    </w:lvl>
    <w:lvl w:ilvl="6" w:tplc="D226A612">
      <w:start w:val="1"/>
      <w:numFmt w:val="bullet"/>
      <w:lvlText w:val="•"/>
      <w:lvlJc w:val="left"/>
      <w:pPr>
        <w:ind w:left="3985" w:hanging="227"/>
      </w:pPr>
      <w:rPr>
        <w:rFonts w:hint="default"/>
      </w:rPr>
    </w:lvl>
    <w:lvl w:ilvl="7" w:tplc="85A45516">
      <w:start w:val="1"/>
      <w:numFmt w:val="bullet"/>
      <w:lvlText w:val="•"/>
      <w:lvlJc w:val="left"/>
      <w:pPr>
        <w:ind w:left="4600" w:hanging="227"/>
      </w:pPr>
      <w:rPr>
        <w:rFonts w:hint="default"/>
      </w:rPr>
    </w:lvl>
    <w:lvl w:ilvl="8" w:tplc="827E9444">
      <w:start w:val="1"/>
      <w:numFmt w:val="bullet"/>
      <w:lvlText w:val="•"/>
      <w:lvlJc w:val="left"/>
      <w:pPr>
        <w:ind w:left="5214" w:hanging="227"/>
      </w:pPr>
      <w:rPr>
        <w:rFonts w:hint="default"/>
      </w:rPr>
    </w:lvl>
  </w:abstractNum>
  <w:abstractNum w:abstractNumId="1">
    <w:nsid w:val="77611380"/>
    <w:multiLevelType w:val="hybridMultilevel"/>
    <w:tmpl w:val="FE8CF930"/>
    <w:lvl w:ilvl="0" w:tplc="455AF4D8">
      <w:start w:val="1"/>
      <w:numFmt w:val="bullet"/>
      <w:lvlText w:val="•"/>
      <w:lvlJc w:val="left"/>
      <w:pPr>
        <w:ind w:left="676" w:hanging="227"/>
      </w:pPr>
      <w:rPr>
        <w:rFonts w:ascii="Arial" w:eastAsia="Trebuchet MS" w:hAnsi="Arial" w:cs="Arial" w:hint="default"/>
        <w:w w:val="98"/>
        <w:sz w:val="18"/>
        <w:szCs w:val="18"/>
      </w:rPr>
    </w:lvl>
    <w:lvl w:ilvl="1" w:tplc="CEFC26FC">
      <w:start w:val="1"/>
      <w:numFmt w:val="bullet"/>
      <w:lvlText w:val="•"/>
      <w:lvlJc w:val="left"/>
      <w:pPr>
        <w:ind w:left="1229" w:hanging="227"/>
      </w:pPr>
      <w:rPr>
        <w:rFonts w:hint="default"/>
      </w:rPr>
    </w:lvl>
    <w:lvl w:ilvl="2" w:tplc="18D040D0">
      <w:start w:val="1"/>
      <w:numFmt w:val="bullet"/>
      <w:lvlText w:val="•"/>
      <w:lvlJc w:val="left"/>
      <w:pPr>
        <w:ind w:left="1779" w:hanging="227"/>
      </w:pPr>
      <w:rPr>
        <w:rFonts w:hint="default"/>
      </w:rPr>
    </w:lvl>
    <w:lvl w:ilvl="3" w:tplc="F7562894">
      <w:start w:val="1"/>
      <w:numFmt w:val="bullet"/>
      <w:lvlText w:val="•"/>
      <w:lvlJc w:val="left"/>
      <w:pPr>
        <w:ind w:left="2328" w:hanging="227"/>
      </w:pPr>
      <w:rPr>
        <w:rFonts w:hint="default"/>
      </w:rPr>
    </w:lvl>
    <w:lvl w:ilvl="4" w:tplc="350096A4">
      <w:start w:val="1"/>
      <w:numFmt w:val="bullet"/>
      <w:lvlText w:val="•"/>
      <w:lvlJc w:val="left"/>
      <w:pPr>
        <w:ind w:left="2878" w:hanging="227"/>
      </w:pPr>
      <w:rPr>
        <w:rFonts w:hint="default"/>
      </w:rPr>
    </w:lvl>
    <w:lvl w:ilvl="5" w:tplc="9CEC779E">
      <w:start w:val="1"/>
      <w:numFmt w:val="bullet"/>
      <w:lvlText w:val="•"/>
      <w:lvlJc w:val="left"/>
      <w:pPr>
        <w:ind w:left="3427" w:hanging="227"/>
      </w:pPr>
      <w:rPr>
        <w:rFonts w:hint="default"/>
      </w:rPr>
    </w:lvl>
    <w:lvl w:ilvl="6" w:tplc="6CFC7810">
      <w:start w:val="1"/>
      <w:numFmt w:val="bullet"/>
      <w:lvlText w:val="•"/>
      <w:lvlJc w:val="left"/>
      <w:pPr>
        <w:ind w:left="3977" w:hanging="227"/>
      </w:pPr>
      <w:rPr>
        <w:rFonts w:hint="default"/>
      </w:rPr>
    </w:lvl>
    <w:lvl w:ilvl="7" w:tplc="5BCCF63C">
      <w:start w:val="1"/>
      <w:numFmt w:val="bullet"/>
      <w:lvlText w:val="•"/>
      <w:lvlJc w:val="left"/>
      <w:pPr>
        <w:ind w:left="4527" w:hanging="227"/>
      </w:pPr>
      <w:rPr>
        <w:rFonts w:hint="default"/>
      </w:rPr>
    </w:lvl>
    <w:lvl w:ilvl="8" w:tplc="EEA02A84">
      <w:start w:val="1"/>
      <w:numFmt w:val="bullet"/>
      <w:lvlText w:val="•"/>
      <w:lvlJc w:val="left"/>
      <w:pPr>
        <w:ind w:left="5076"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11F97"/>
    <w:rsid w:val="00341877"/>
    <w:rsid w:val="00C11F97"/>
    <w:rsid w:val="00CB0C73"/>
    <w:rsid w:val="00CE4E59"/>
    <w:rsid w:val="00E610FE"/>
    <w:rsid w:val="00F416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804"/>
      <w:outlineLvl w:val="0"/>
    </w:pPr>
    <w:rPr>
      <w:rFonts w:ascii="Trebuchet MS" w:eastAsia="Trebuchet MS" w:hAnsi="Trebuchet MS"/>
      <w:sz w:val="48"/>
      <w:szCs w:val="48"/>
    </w:rPr>
  </w:style>
  <w:style w:type="paragraph" w:styleId="Heading2">
    <w:name w:val="heading 2"/>
    <w:basedOn w:val="Normal"/>
    <w:uiPriority w:val="1"/>
    <w:qFormat/>
    <w:pPr>
      <w:ind w:left="793"/>
      <w:outlineLvl w:val="1"/>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
    </w:pPr>
    <w:rPr>
      <w:rFonts w:ascii="Trebuchet MS" w:eastAsia="Trebuchet MS" w:hAnsi="Trebuchet M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docs.education.gov.au/system/files/doc/other/belonging_being_and_becoming_the_early_years_learning_framework_for_australia.pdf" TargetMode="External"/><Relationship Id="rId18" Type="http://schemas.openxmlformats.org/officeDocument/2006/relationships/hyperlink" Target="http://www.australiancurriculum.edu.au/studentdiversity/student-diversity-advice" TargetMode="External"/><Relationship Id="rId26" Type="http://schemas.openxmlformats.org/officeDocument/2006/relationships/hyperlink" Target="https://oneportal.deta.qld.gov.au/Students/InclusiveEducation/Pages/Default.aspx" TargetMode="External"/><Relationship Id="rId39" Type="http://schemas.openxmlformats.org/officeDocument/2006/relationships/customXml" Target="../customXml/item3.xml"/><Relationship Id="rId21" Type="http://schemas.openxmlformats.org/officeDocument/2006/relationships/hyperlink" Target="https://www.qcaa.qld.edu.au/p-10/catering-diversity" TargetMode="External"/><Relationship Id="rId34" Type="http://schemas.openxmlformats.org/officeDocument/2006/relationships/hyperlink" Target="http://www.qld.gov.au/transitiontoschool" TargetMode="External"/><Relationship Id="rId7" Type="http://schemas.openxmlformats.org/officeDocument/2006/relationships/hyperlink" Target="http://www.curriculum.edu.au/verve/_resources/National_Declaration_on_the_Educational_Goals_for_Young_Australians.pdf" TargetMode="External"/><Relationship Id="rId12" Type="http://schemas.openxmlformats.org/officeDocument/2006/relationships/hyperlink" Target="https://docs.education.gov.au/system/files/doc/other/belonging_being_and_becoming_the_early_years_learning_framework_for_australia.pdf" TargetMode="External"/><Relationship Id="rId17" Type="http://schemas.openxmlformats.org/officeDocument/2006/relationships/hyperlink" Target="http://www.australiancurriculum.edu.au/studentdiversity/student-diversity-advice" TargetMode="External"/><Relationship Id="rId25" Type="http://schemas.openxmlformats.org/officeDocument/2006/relationships/hyperlink" Target="http://deta.qld.gov.au/earlychildhood/service/access-kindy/valuing-diversity.html" TargetMode="External"/><Relationship Id="rId33" Type="http://schemas.openxmlformats.org/officeDocument/2006/relationships/hyperlink" Target="https://oneportal.deta.qld.gov.au/earlychildhood/forschools/Pages/Transitiontoschoolsupportcontacts.aspx"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ocs.education.gov.au/system/files/doc/other/belonging_being_and_becoming_the_early_years_learning_framework_for_australia.pdf" TargetMode="External"/><Relationship Id="rId20" Type="http://schemas.openxmlformats.org/officeDocument/2006/relationships/hyperlink" Target="http://www.australiancurriculum.edu.au/studentdiversity/student-diversity-advice" TargetMode="External"/><Relationship Id="rId29" Type="http://schemas.openxmlformats.org/officeDocument/2006/relationships/hyperlink" Target="https://oneportal.deta.qld.gov.au/Students/InclusiveEducation/Pages/Default.aspx" TargetMode="External"/><Relationship Id="rId1" Type="http://schemas.openxmlformats.org/officeDocument/2006/relationships/numbering" Target="numbering.xml"/><Relationship Id="rId6" Type="http://schemas.openxmlformats.org/officeDocument/2006/relationships/hyperlink" Target="http://www.curriculum.edu.au/verve/_resources/National_Declaration_on_the_Educational_Goals_for_Young_Australians.pdf" TargetMode="External"/><Relationship Id="rId11" Type="http://schemas.openxmlformats.org/officeDocument/2006/relationships/hyperlink" Target="https://docs.education.gov.au/system/files/doc/other/belonging_being_and_becoming_the_early_years_learning_framework_for_australia.pdf" TargetMode="External"/><Relationship Id="rId24" Type="http://schemas.openxmlformats.org/officeDocument/2006/relationships/hyperlink" Target="http://deta.qld.gov.au/earlychildhood/service/access-kindy/valuing-diversity.html" TargetMode="External"/><Relationship Id="rId32" Type="http://schemas.openxmlformats.org/officeDocument/2006/relationships/hyperlink" Target="https://oneportal.deta.qld.gov.au/earlychildhood/forschools/Pages/Transitiontoschoolsupportcontacts.aspx" TargetMode="External"/><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docs.education.gov.au/system/files/doc/other/belonging_being_and_becoming_the_early_years_learning_framework_for_australia.pdf" TargetMode="External"/><Relationship Id="rId23" Type="http://schemas.openxmlformats.org/officeDocument/2006/relationships/hyperlink" Target="http://deta.qld.gov.au/earlychildhood/service/access-kindy/valuing-diversity.html" TargetMode="External"/><Relationship Id="rId28" Type="http://schemas.openxmlformats.org/officeDocument/2006/relationships/hyperlink" Target="https://oneportal.deta.qld.gov.au/Students/InclusiveEducation/Pages/Default.aspx" TargetMode="External"/><Relationship Id="rId36" Type="http://schemas.openxmlformats.org/officeDocument/2006/relationships/theme" Target="theme/theme1.xml"/><Relationship Id="rId10" Type="http://schemas.openxmlformats.org/officeDocument/2006/relationships/hyperlink" Target="http://www.curriculum.edu.au/verve/_resources/National_Declaration_on_the_Educational_Goals_for_Young_Australians.pdf" TargetMode="External"/><Relationship Id="rId19" Type="http://schemas.openxmlformats.org/officeDocument/2006/relationships/hyperlink" Target="http://www.australiancurriculum.edu.au/studentdiversity/student-diversity-advice" TargetMode="External"/><Relationship Id="rId31" Type="http://schemas.openxmlformats.org/officeDocument/2006/relationships/hyperlink" Target="http://education.qld.gov.au/schools/inclusive/index.html" TargetMode="External"/><Relationship Id="rId4" Type="http://schemas.openxmlformats.org/officeDocument/2006/relationships/settings" Target="settings.xml"/><Relationship Id="rId9" Type="http://schemas.openxmlformats.org/officeDocument/2006/relationships/hyperlink" Target="http://www.curriculum.edu.au/verve/_resources/National_Declaration_on_the_Educational_Goals_for_Young_Australians.pdf" TargetMode="External"/><Relationship Id="rId14" Type="http://schemas.openxmlformats.org/officeDocument/2006/relationships/hyperlink" Target="https://docs.education.gov.au/system/files/doc/other/belonging_being_and_becoming_the_early_years_learning_framework_for_australia.pdf" TargetMode="External"/><Relationship Id="rId22" Type="http://schemas.openxmlformats.org/officeDocument/2006/relationships/hyperlink" Target="https://www.qcaa.qld.edu.au/p-10/catering-diversity" TargetMode="External"/><Relationship Id="rId27" Type="http://schemas.openxmlformats.org/officeDocument/2006/relationships/hyperlink" Target="https://oneportal.deta.qld.gov.au/Students/InclusiveEducation/Pages/Default.aspx" TargetMode="External"/><Relationship Id="rId30" Type="http://schemas.openxmlformats.org/officeDocument/2006/relationships/hyperlink" Target="http://education.qld.gov.au/schools/inclusive/index.html" TargetMode="External"/><Relationship Id="rId35" Type="http://schemas.openxmlformats.org/officeDocument/2006/relationships/fontTable" Target="fontTable.xml"/><Relationship Id="rId8" Type="http://schemas.openxmlformats.org/officeDocument/2006/relationships/hyperlink" Target="http://www.curriculum.edu.au/verve/_resources/National_Declaration_on_the_Educational_Goals_for_Young_Australians.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2023-08-10T23:08:29+00:00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2023-08-10T23:08:29+00:00</PPLastReviewedDate>
    <PPSubmittedDate xmlns="687c0ba5-25f6-467d-a8e9-4285ca7a69ae">2023-08-10T23:07:59+00:00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8FDE664C-E9B6-4271-AFEB-59B09E807E11}"/>
</file>

<file path=customXml/itemProps2.xml><?xml version="1.0" encoding="utf-8"?>
<ds:datastoreItem xmlns:ds="http://schemas.openxmlformats.org/officeDocument/2006/customXml" ds:itemID="{61FBA7B9-FE59-421E-8D8B-265C8853C553}"/>
</file>

<file path=customXml/itemProps3.xml><?xml version="1.0" encoding="utf-8"?>
<ds:datastoreItem xmlns:ds="http://schemas.openxmlformats.org/officeDocument/2006/customXml" ds:itemID="{F95E68C6-3BE8-4681-985C-E33984C5FE1A}"/>
</file>

<file path=docProps/app.xml><?xml version="1.0" encoding="utf-8"?>
<Properties xmlns="http://schemas.openxmlformats.org/officeDocument/2006/extended-properties" xmlns:vt="http://schemas.openxmlformats.org/officeDocument/2006/docPropsVTypes">
  <Template>Normal.dotm</Template>
  <TotalTime>37</TotalTime>
  <Pages>3</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successful transitions Respect for diversity:	Information for schools</dc:title>
  <dc:creator>Department of Education</dc:creator>
  <cp:lastModifiedBy>SAUNDERS, David</cp:lastModifiedBy>
  <cp:revision>4</cp:revision>
  <dcterms:created xsi:type="dcterms:W3CDTF">2016-08-02T16:13:00Z</dcterms:created>
  <dcterms:modified xsi:type="dcterms:W3CDTF">2017-02-08T23:34:00Z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Adobe InDesign CC 2015 (Macintosh)</vt:lpwstr>
  </property>
  <property fmtid="{D5CDD505-2E9C-101B-9397-08002B2CF9AE}" pid="4" name="LastSaved">
    <vt:filetime>2016-08-02T00:00:00Z</vt:filetime>
  </property>
  <property fmtid="{D5CDD505-2E9C-101B-9397-08002B2CF9AE}" pid="5" name="ContentTypeId">
    <vt:lpwstr>0x0101003DEAC84E5A7B2643B1156F1C7CE9DCB7</vt:lpwstr>
  </property>
</Properties>
</file>