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38" w:rsidRDefault="00785799" w:rsidP="00C57938">
      <w:pPr>
        <w:pStyle w:val="Heading1"/>
        <w:spacing w:before="0" w:after="200" w:line="276" w:lineRule="auto"/>
        <w:rPr>
          <w:bCs w:val="0"/>
          <w:iCs/>
        </w:rPr>
      </w:pPr>
      <w:r w:rsidRPr="00C57938">
        <w:rPr>
          <w:bCs w:val="0"/>
          <w:iCs/>
        </w:rPr>
        <w:t>Supporting successful transitions</w:t>
      </w:r>
    </w:p>
    <w:p w:rsidR="00C57938" w:rsidRPr="00EF01C9" w:rsidRDefault="00C57938" w:rsidP="00EF01C9">
      <w:pPr>
        <w:pStyle w:val="Heading1"/>
        <w:spacing w:before="0" w:after="200" w:line="276" w:lineRule="auto"/>
        <w:rPr>
          <w:bCs w:val="0"/>
          <w:iCs/>
        </w:rPr>
      </w:pPr>
      <w:r>
        <w:rPr>
          <w:bCs w:val="0"/>
          <w:iCs/>
        </w:rPr>
        <w:t>C</w:t>
      </w:r>
      <w:r w:rsidR="00FE4B9E" w:rsidRPr="00C57938">
        <w:rPr>
          <w:bCs w:val="0"/>
          <w:iCs/>
        </w:rPr>
        <w:t>ase s</w:t>
      </w:r>
      <w:r w:rsidR="00854372" w:rsidRPr="00C57938">
        <w:rPr>
          <w:bCs w:val="0"/>
          <w:iCs/>
        </w:rPr>
        <w:t>tudy</w:t>
      </w:r>
      <w:r w:rsidR="00EF01C9">
        <w:rPr>
          <w:bCs w:val="0"/>
          <w:iCs/>
        </w:rPr>
        <w:t xml:space="preserve"> -</w:t>
      </w:r>
      <w:bookmarkStart w:id="0" w:name="_GoBack"/>
      <w:bookmarkEnd w:id="0"/>
      <w:r w:rsidR="00EF01C9">
        <w:rPr>
          <w:bCs w:val="0"/>
          <w:iCs/>
        </w:rPr>
        <w:t xml:space="preserve"> </w:t>
      </w:r>
      <w:r w:rsidR="00854372" w:rsidRPr="00C57938">
        <w:rPr>
          <w:bCs w:val="0"/>
          <w:iCs/>
          <w:sz w:val="26"/>
          <w:szCs w:val="26"/>
        </w:rPr>
        <w:t>Why relationships matter</w:t>
      </w:r>
    </w:p>
    <w:p w:rsidR="00854372" w:rsidRPr="00C57938" w:rsidRDefault="00854372" w:rsidP="00C57938">
      <w:pPr>
        <w:pStyle w:val="Heading3"/>
        <w:tabs>
          <w:tab w:val="left" w:pos="5480"/>
        </w:tabs>
        <w:spacing w:before="0" w:after="200" w:line="276" w:lineRule="auto"/>
        <w:rPr>
          <w:bCs w:val="0"/>
          <w:iCs/>
          <w:sz w:val="26"/>
          <w:szCs w:val="26"/>
        </w:rPr>
      </w:pPr>
      <w:r w:rsidRPr="00C57938">
        <w:rPr>
          <w:bCs w:val="0"/>
          <w:iCs/>
          <w:sz w:val="26"/>
          <w:szCs w:val="26"/>
        </w:rPr>
        <w:t>North Coast Region</w:t>
      </w:r>
    </w:p>
    <w:p w:rsidR="006E49D8" w:rsidRPr="00C57938" w:rsidRDefault="006E49D8"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North Coast Region is experiencing year-on-year growth with new communities established and existing communities expanding. This growth has resulted in the need for additional schools and early childhood services to meet demand. North Coast Region’s Early Childhood Education and Care (ECEC) Director, Marian </w:t>
      </w:r>
      <w:proofErr w:type="spellStart"/>
      <w:r w:rsidRPr="00C57938">
        <w:rPr>
          <w:rFonts w:ascii="Arial" w:hAnsi="Arial" w:cs="Arial"/>
          <w:bCs/>
          <w:iCs/>
          <w:color w:val="000000"/>
          <w:sz w:val="18"/>
          <w:szCs w:val="18"/>
        </w:rPr>
        <w:t>Prete</w:t>
      </w:r>
      <w:proofErr w:type="spellEnd"/>
      <w:r w:rsidRPr="00C57938">
        <w:rPr>
          <w:rFonts w:ascii="Arial" w:hAnsi="Arial" w:cs="Arial"/>
          <w:bCs/>
          <w:iCs/>
          <w:color w:val="000000"/>
          <w:sz w:val="18"/>
          <w:szCs w:val="18"/>
        </w:rPr>
        <w:t xml:space="preserve"> outlines why a focus on relationships is valued and prioritised in the region.</w:t>
      </w:r>
    </w:p>
    <w:p w:rsidR="00854372" w:rsidRPr="00236B8E" w:rsidRDefault="00854372" w:rsidP="00C57938">
      <w:pPr>
        <w:pStyle w:val="Heading3"/>
      </w:pPr>
      <w:r w:rsidRPr="00236B8E">
        <w:t>Why relationships matter</w:t>
      </w:r>
    </w:p>
    <w:p w:rsidR="00FE4B9E" w:rsidRPr="00C57938" w:rsidRDefault="00542BC5"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Education is a social context</w:t>
      </w:r>
      <w:r w:rsidR="006F2D8E" w:rsidRPr="00C57938">
        <w:rPr>
          <w:rFonts w:ascii="Arial" w:hAnsi="Arial" w:cs="Arial"/>
          <w:bCs/>
          <w:iCs/>
          <w:color w:val="000000"/>
          <w:sz w:val="18"/>
          <w:szCs w:val="18"/>
        </w:rPr>
        <w:t xml:space="preserve"> in which learning occurs through the interaction</w:t>
      </w:r>
      <w:r w:rsidR="001B2207" w:rsidRPr="00C57938">
        <w:rPr>
          <w:rFonts w:ascii="Arial" w:hAnsi="Arial" w:cs="Arial"/>
          <w:bCs/>
          <w:iCs/>
          <w:color w:val="000000"/>
          <w:sz w:val="18"/>
          <w:szCs w:val="18"/>
        </w:rPr>
        <w:t>s</w:t>
      </w:r>
      <w:r w:rsidR="006F2D8E" w:rsidRPr="00C57938">
        <w:rPr>
          <w:rFonts w:ascii="Arial" w:hAnsi="Arial" w:cs="Arial"/>
          <w:bCs/>
          <w:iCs/>
          <w:color w:val="000000"/>
          <w:sz w:val="18"/>
          <w:szCs w:val="18"/>
        </w:rPr>
        <w:t xml:space="preserve"> </w:t>
      </w:r>
      <w:r w:rsidR="001B2207" w:rsidRPr="00C57938">
        <w:rPr>
          <w:rFonts w:ascii="Arial" w:hAnsi="Arial" w:cs="Arial"/>
          <w:bCs/>
          <w:iCs/>
          <w:color w:val="000000"/>
          <w:sz w:val="18"/>
          <w:szCs w:val="18"/>
        </w:rPr>
        <w:t>between</w:t>
      </w:r>
      <w:r w:rsidR="006F2D8E" w:rsidRPr="00C57938">
        <w:rPr>
          <w:rFonts w:ascii="Arial" w:hAnsi="Arial" w:cs="Arial"/>
          <w:bCs/>
          <w:iCs/>
          <w:color w:val="000000"/>
          <w:sz w:val="18"/>
          <w:szCs w:val="18"/>
        </w:rPr>
        <w:t xml:space="preserve"> children, adults, materials and environments</w:t>
      </w:r>
      <w:r w:rsidRPr="00C57938">
        <w:rPr>
          <w:rFonts w:ascii="Arial" w:hAnsi="Arial" w:cs="Arial"/>
          <w:bCs/>
          <w:iCs/>
          <w:color w:val="000000"/>
          <w:sz w:val="18"/>
          <w:szCs w:val="18"/>
        </w:rPr>
        <w:t xml:space="preserve">. All participants in the educative process </w:t>
      </w:r>
      <w:r w:rsidR="006E49D8" w:rsidRPr="00C57938">
        <w:rPr>
          <w:rFonts w:ascii="Arial" w:hAnsi="Arial" w:cs="Arial"/>
          <w:bCs/>
          <w:iCs/>
          <w:color w:val="000000"/>
          <w:sz w:val="18"/>
          <w:szCs w:val="18"/>
        </w:rPr>
        <w:t>–</w:t>
      </w:r>
      <w:r w:rsidRPr="00C57938">
        <w:rPr>
          <w:rFonts w:ascii="Arial" w:hAnsi="Arial" w:cs="Arial"/>
          <w:bCs/>
          <w:iCs/>
          <w:color w:val="000000"/>
          <w:sz w:val="18"/>
          <w:szCs w:val="18"/>
        </w:rPr>
        <w:t xml:space="preserve"> </w:t>
      </w:r>
      <w:r w:rsidR="006E49D8" w:rsidRPr="00C57938">
        <w:rPr>
          <w:rFonts w:ascii="Arial" w:hAnsi="Arial" w:cs="Arial"/>
          <w:bCs/>
          <w:iCs/>
          <w:color w:val="000000"/>
          <w:sz w:val="18"/>
          <w:szCs w:val="18"/>
        </w:rPr>
        <w:t xml:space="preserve">children, families, </w:t>
      </w:r>
      <w:r w:rsidRPr="00C57938">
        <w:rPr>
          <w:rFonts w:ascii="Arial" w:hAnsi="Arial" w:cs="Arial"/>
          <w:bCs/>
          <w:iCs/>
          <w:color w:val="000000"/>
          <w:sz w:val="18"/>
          <w:szCs w:val="18"/>
        </w:rPr>
        <w:t>teachers</w:t>
      </w:r>
      <w:r w:rsidR="006E49D8" w:rsidRPr="00C57938">
        <w:rPr>
          <w:rFonts w:ascii="Arial" w:hAnsi="Arial" w:cs="Arial"/>
          <w:bCs/>
          <w:iCs/>
          <w:color w:val="000000"/>
          <w:sz w:val="18"/>
          <w:szCs w:val="18"/>
        </w:rPr>
        <w:t xml:space="preserve"> </w:t>
      </w:r>
      <w:r w:rsidR="00707C02" w:rsidRPr="00C57938">
        <w:rPr>
          <w:rFonts w:ascii="Arial" w:hAnsi="Arial" w:cs="Arial"/>
          <w:bCs/>
          <w:iCs/>
          <w:color w:val="000000"/>
          <w:sz w:val="18"/>
          <w:szCs w:val="18"/>
        </w:rPr>
        <w:t>and administrators</w:t>
      </w:r>
      <w:r w:rsidRPr="00C57938">
        <w:rPr>
          <w:rFonts w:ascii="Arial" w:hAnsi="Arial" w:cs="Arial"/>
          <w:bCs/>
          <w:iCs/>
          <w:color w:val="000000"/>
          <w:sz w:val="18"/>
          <w:szCs w:val="18"/>
        </w:rPr>
        <w:t xml:space="preserve"> </w:t>
      </w:r>
      <w:r w:rsidR="006F2D8E" w:rsidRPr="00C57938">
        <w:rPr>
          <w:rFonts w:ascii="Arial" w:hAnsi="Arial" w:cs="Arial"/>
          <w:bCs/>
          <w:iCs/>
          <w:color w:val="000000"/>
          <w:sz w:val="18"/>
          <w:szCs w:val="18"/>
        </w:rPr>
        <w:t>engage in</w:t>
      </w:r>
      <w:r w:rsidRPr="00C57938">
        <w:rPr>
          <w:rFonts w:ascii="Arial" w:hAnsi="Arial" w:cs="Arial"/>
          <w:bCs/>
          <w:iCs/>
          <w:color w:val="000000"/>
          <w:sz w:val="18"/>
          <w:szCs w:val="18"/>
        </w:rPr>
        <w:t xml:space="preserve"> thousands of interactions on a daily basis. These interactions </w:t>
      </w:r>
      <w:r w:rsidR="006F2D8E" w:rsidRPr="00C57938">
        <w:rPr>
          <w:rFonts w:ascii="Arial" w:hAnsi="Arial" w:cs="Arial"/>
          <w:bCs/>
          <w:iCs/>
          <w:color w:val="000000"/>
          <w:sz w:val="18"/>
          <w:szCs w:val="18"/>
        </w:rPr>
        <w:t xml:space="preserve">centre </w:t>
      </w:r>
      <w:r w:rsidR="001B2207" w:rsidRPr="00C57938">
        <w:rPr>
          <w:rFonts w:ascii="Arial" w:hAnsi="Arial" w:cs="Arial"/>
          <w:bCs/>
          <w:iCs/>
          <w:color w:val="000000"/>
          <w:sz w:val="18"/>
          <w:szCs w:val="18"/>
        </w:rPr>
        <w:t>on</w:t>
      </w:r>
      <w:r w:rsidR="006F2D8E" w:rsidRPr="00C57938">
        <w:rPr>
          <w:rFonts w:ascii="Arial" w:hAnsi="Arial" w:cs="Arial"/>
          <w:bCs/>
          <w:iCs/>
          <w:color w:val="000000"/>
          <w:sz w:val="18"/>
          <w:szCs w:val="18"/>
        </w:rPr>
        <w:t xml:space="preserve"> the knowledge, skills and dispositions that enhance learning as well as the social and procedural contexts that help </w:t>
      </w:r>
      <w:r w:rsidR="001B2207" w:rsidRPr="00C57938">
        <w:rPr>
          <w:rFonts w:ascii="Arial" w:hAnsi="Arial" w:cs="Arial"/>
          <w:bCs/>
          <w:iCs/>
          <w:color w:val="000000"/>
          <w:sz w:val="18"/>
          <w:szCs w:val="18"/>
        </w:rPr>
        <w:t xml:space="preserve">participants </w:t>
      </w:r>
      <w:r w:rsidR="006F2D8E" w:rsidRPr="00C57938">
        <w:rPr>
          <w:rFonts w:ascii="Arial" w:hAnsi="Arial" w:cs="Arial"/>
          <w:bCs/>
          <w:iCs/>
          <w:color w:val="000000"/>
          <w:sz w:val="18"/>
          <w:szCs w:val="18"/>
        </w:rPr>
        <w:t xml:space="preserve">navigate the routines and expectations of school. Each of these interactions </w:t>
      </w:r>
      <w:r w:rsidR="00785799" w:rsidRPr="00C57938">
        <w:rPr>
          <w:rFonts w:ascii="Arial" w:hAnsi="Arial" w:cs="Arial"/>
          <w:bCs/>
          <w:iCs/>
          <w:color w:val="000000"/>
          <w:sz w:val="18"/>
          <w:szCs w:val="18"/>
        </w:rPr>
        <w:t>has</w:t>
      </w:r>
      <w:r w:rsidR="00864D3F" w:rsidRPr="00C57938">
        <w:rPr>
          <w:rFonts w:ascii="Arial" w:hAnsi="Arial" w:cs="Arial"/>
          <w:bCs/>
          <w:iCs/>
          <w:color w:val="000000"/>
          <w:sz w:val="18"/>
          <w:szCs w:val="18"/>
        </w:rPr>
        <w:t xml:space="preserve"> </w:t>
      </w:r>
      <w:r w:rsidRPr="00C57938">
        <w:rPr>
          <w:rFonts w:ascii="Arial" w:hAnsi="Arial" w:cs="Arial"/>
          <w:bCs/>
          <w:iCs/>
          <w:color w:val="000000"/>
          <w:sz w:val="18"/>
          <w:szCs w:val="18"/>
        </w:rPr>
        <w:t xml:space="preserve">maximum impact when underpinned by trust, mutual respect and reciprocity. These attributes </w:t>
      </w:r>
      <w:r w:rsidR="006F2D8E" w:rsidRPr="00C57938">
        <w:rPr>
          <w:rFonts w:ascii="Arial" w:hAnsi="Arial" w:cs="Arial"/>
          <w:bCs/>
          <w:iCs/>
          <w:color w:val="000000"/>
          <w:sz w:val="18"/>
          <w:szCs w:val="18"/>
        </w:rPr>
        <w:t xml:space="preserve">just </w:t>
      </w:r>
      <w:r w:rsidR="00B841D7" w:rsidRPr="00C57938">
        <w:rPr>
          <w:rFonts w:ascii="Arial" w:hAnsi="Arial" w:cs="Arial"/>
          <w:bCs/>
          <w:iCs/>
          <w:color w:val="000000"/>
          <w:sz w:val="18"/>
          <w:szCs w:val="18"/>
        </w:rPr>
        <w:t>do not</w:t>
      </w:r>
      <w:r w:rsidR="006F2D8E" w:rsidRPr="00C57938">
        <w:rPr>
          <w:rFonts w:ascii="Arial" w:hAnsi="Arial" w:cs="Arial"/>
          <w:bCs/>
          <w:iCs/>
          <w:color w:val="000000"/>
          <w:sz w:val="18"/>
          <w:szCs w:val="18"/>
        </w:rPr>
        <w:t xml:space="preserve"> occur</w:t>
      </w:r>
      <w:proofErr w:type="gramStart"/>
      <w:r w:rsidR="006E49D8" w:rsidRPr="00C57938">
        <w:rPr>
          <w:rFonts w:ascii="Arial" w:hAnsi="Arial" w:cs="Arial"/>
          <w:bCs/>
          <w:iCs/>
          <w:color w:val="000000"/>
          <w:sz w:val="18"/>
          <w:szCs w:val="18"/>
        </w:rPr>
        <w:t>,</w:t>
      </w:r>
      <w:proofErr w:type="gramEnd"/>
      <w:r w:rsidR="006E49D8" w:rsidRPr="00C57938">
        <w:rPr>
          <w:rFonts w:ascii="Arial" w:hAnsi="Arial" w:cs="Arial"/>
          <w:bCs/>
          <w:iCs/>
          <w:color w:val="000000"/>
          <w:sz w:val="18"/>
          <w:szCs w:val="18"/>
        </w:rPr>
        <w:t xml:space="preserve"> </w:t>
      </w:r>
      <w:r w:rsidR="009477BF" w:rsidRPr="00C57938">
        <w:rPr>
          <w:rFonts w:ascii="Arial" w:hAnsi="Arial" w:cs="Arial"/>
          <w:bCs/>
          <w:iCs/>
          <w:color w:val="000000"/>
          <w:sz w:val="18"/>
          <w:szCs w:val="18"/>
        </w:rPr>
        <w:t>they require commitment, time and a genuine desire to connect with others towards a common goal.</w:t>
      </w:r>
    </w:p>
    <w:p w:rsidR="006E49D8" w:rsidRPr="00C57938" w:rsidRDefault="006E49D8" w:rsidP="00C57938">
      <w:pPr>
        <w:spacing w:after="200" w:line="276" w:lineRule="auto"/>
        <w:rPr>
          <w:rFonts w:ascii="Arial" w:hAnsi="Arial" w:cs="Arial"/>
          <w:bCs/>
          <w:i/>
          <w:iCs/>
          <w:color w:val="000000"/>
          <w:sz w:val="18"/>
          <w:szCs w:val="18"/>
        </w:rPr>
      </w:pPr>
      <w:r w:rsidRPr="00C57938">
        <w:rPr>
          <w:rFonts w:ascii="Arial" w:hAnsi="Arial" w:cs="Arial"/>
          <w:bCs/>
          <w:i/>
          <w:iCs/>
          <w:color w:val="000000"/>
          <w:sz w:val="18"/>
          <w:szCs w:val="18"/>
        </w:rPr>
        <w:t xml:space="preserve">“Effective programs are based on the establishment and maintenance of relationships between all parties: educators, parents, and children. While transition programs may focus on developing children's knowledge, understanding, and skills, they have, as their key function, a commitment to facilitating positive social interactions and relationships.” </w:t>
      </w:r>
    </w:p>
    <w:p w:rsidR="00FE4B9E" w:rsidRPr="00C57938" w:rsidRDefault="006E49D8"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Starting School: Effective Transitions Sue Dockett &amp; Bob Perry University of Western Sydney in Early Childhood Research and Practice Fall 2001, Vol3 No.2</w:t>
      </w:r>
    </w:p>
    <w:p w:rsidR="00BF0354" w:rsidRPr="00C57938" w:rsidRDefault="00F51ABE"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The research positions families as the most important people in children’s lives and emphasises the central role they play in supporting children’s learning and development. </w:t>
      </w:r>
      <w:r w:rsidR="00BF0354" w:rsidRPr="00C57938">
        <w:rPr>
          <w:rFonts w:ascii="Arial" w:hAnsi="Arial" w:cs="Arial"/>
          <w:bCs/>
          <w:iCs/>
          <w:color w:val="000000"/>
          <w:sz w:val="18"/>
          <w:szCs w:val="18"/>
        </w:rPr>
        <w:t>It is b</w:t>
      </w:r>
      <w:r w:rsidRPr="00C57938">
        <w:rPr>
          <w:rFonts w:ascii="Arial" w:hAnsi="Arial" w:cs="Arial"/>
          <w:bCs/>
          <w:iCs/>
          <w:color w:val="000000"/>
          <w:sz w:val="18"/>
          <w:szCs w:val="18"/>
        </w:rPr>
        <w:t xml:space="preserve">ecause of this </w:t>
      </w:r>
      <w:r w:rsidR="00BF0354" w:rsidRPr="00C57938">
        <w:rPr>
          <w:rFonts w:ascii="Arial" w:hAnsi="Arial" w:cs="Arial"/>
          <w:bCs/>
          <w:iCs/>
          <w:color w:val="000000"/>
          <w:sz w:val="18"/>
          <w:szCs w:val="18"/>
        </w:rPr>
        <w:t xml:space="preserve">that </w:t>
      </w:r>
      <w:r w:rsidRPr="00C57938">
        <w:rPr>
          <w:rFonts w:ascii="Arial" w:hAnsi="Arial" w:cs="Arial"/>
          <w:bCs/>
          <w:iCs/>
          <w:color w:val="000000"/>
          <w:sz w:val="18"/>
          <w:szCs w:val="18"/>
        </w:rPr>
        <w:t xml:space="preserve">families must be involved in the transition process </w:t>
      </w:r>
      <w:r w:rsidR="00BF0354" w:rsidRPr="00C57938">
        <w:rPr>
          <w:rFonts w:ascii="Arial" w:hAnsi="Arial" w:cs="Arial"/>
          <w:bCs/>
          <w:iCs/>
          <w:color w:val="000000"/>
          <w:sz w:val="18"/>
          <w:szCs w:val="18"/>
        </w:rPr>
        <w:t xml:space="preserve">as </w:t>
      </w:r>
      <w:r w:rsidRPr="00C57938">
        <w:rPr>
          <w:rFonts w:ascii="Arial" w:hAnsi="Arial" w:cs="Arial"/>
          <w:bCs/>
          <w:iCs/>
          <w:color w:val="000000"/>
          <w:sz w:val="18"/>
          <w:szCs w:val="18"/>
        </w:rPr>
        <w:t xml:space="preserve">it’s not only children who experience </w:t>
      </w:r>
      <w:r w:rsidR="00BF0354" w:rsidRPr="00C57938">
        <w:rPr>
          <w:rFonts w:ascii="Arial" w:hAnsi="Arial" w:cs="Arial"/>
          <w:bCs/>
          <w:iCs/>
          <w:color w:val="000000"/>
          <w:sz w:val="18"/>
          <w:szCs w:val="18"/>
        </w:rPr>
        <w:t xml:space="preserve">the </w:t>
      </w:r>
      <w:r w:rsidRPr="00C57938">
        <w:rPr>
          <w:rFonts w:ascii="Arial" w:hAnsi="Arial" w:cs="Arial"/>
          <w:bCs/>
          <w:iCs/>
          <w:color w:val="000000"/>
          <w:sz w:val="18"/>
          <w:szCs w:val="18"/>
        </w:rPr>
        <w:t xml:space="preserve">changes </w:t>
      </w:r>
      <w:r w:rsidR="00BF0354" w:rsidRPr="00C57938">
        <w:rPr>
          <w:rFonts w:ascii="Arial" w:hAnsi="Arial" w:cs="Arial"/>
          <w:bCs/>
          <w:iCs/>
          <w:color w:val="000000"/>
          <w:sz w:val="18"/>
          <w:szCs w:val="18"/>
        </w:rPr>
        <w:t xml:space="preserve">and challenges </w:t>
      </w:r>
      <w:r w:rsidRPr="00C57938">
        <w:rPr>
          <w:rFonts w:ascii="Arial" w:hAnsi="Arial" w:cs="Arial"/>
          <w:bCs/>
          <w:iCs/>
          <w:color w:val="000000"/>
          <w:sz w:val="18"/>
          <w:szCs w:val="18"/>
        </w:rPr>
        <w:t>o</w:t>
      </w:r>
      <w:r w:rsidR="00BF0354" w:rsidRPr="00C57938">
        <w:rPr>
          <w:rFonts w:ascii="Arial" w:hAnsi="Arial" w:cs="Arial"/>
          <w:bCs/>
          <w:iCs/>
          <w:color w:val="000000"/>
          <w:sz w:val="18"/>
          <w:szCs w:val="18"/>
        </w:rPr>
        <w:t>f</w:t>
      </w:r>
      <w:r w:rsidRPr="00C57938">
        <w:rPr>
          <w:rFonts w:ascii="Arial" w:hAnsi="Arial" w:cs="Arial"/>
          <w:bCs/>
          <w:iCs/>
          <w:color w:val="000000"/>
          <w:sz w:val="18"/>
          <w:szCs w:val="18"/>
        </w:rPr>
        <w:t xml:space="preserve"> starting school. Families who </w:t>
      </w:r>
      <w:r w:rsidR="00BF0354" w:rsidRPr="00C57938">
        <w:rPr>
          <w:rFonts w:ascii="Arial" w:hAnsi="Arial" w:cs="Arial"/>
          <w:bCs/>
          <w:iCs/>
          <w:color w:val="000000"/>
          <w:sz w:val="18"/>
          <w:szCs w:val="18"/>
        </w:rPr>
        <w:t xml:space="preserve">play an </w:t>
      </w:r>
      <w:r w:rsidRPr="00C57938">
        <w:rPr>
          <w:rFonts w:ascii="Arial" w:hAnsi="Arial" w:cs="Arial"/>
          <w:bCs/>
          <w:iCs/>
          <w:color w:val="000000"/>
          <w:sz w:val="18"/>
          <w:szCs w:val="18"/>
        </w:rPr>
        <w:t>active</w:t>
      </w:r>
      <w:r w:rsidR="00BF0354" w:rsidRPr="00C57938">
        <w:rPr>
          <w:rFonts w:ascii="Arial" w:hAnsi="Arial" w:cs="Arial"/>
          <w:bCs/>
          <w:iCs/>
          <w:color w:val="000000"/>
          <w:sz w:val="18"/>
          <w:szCs w:val="18"/>
        </w:rPr>
        <w:t xml:space="preserve"> role in</w:t>
      </w:r>
      <w:r w:rsidRPr="00C57938">
        <w:rPr>
          <w:rFonts w:ascii="Arial" w:hAnsi="Arial" w:cs="Arial"/>
          <w:bCs/>
          <w:iCs/>
          <w:color w:val="000000"/>
          <w:sz w:val="18"/>
          <w:szCs w:val="18"/>
        </w:rPr>
        <w:t xml:space="preserve"> support</w:t>
      </w:r>
      <w:r w:rsidR="00BF0354" w:rsidRPr="00C57938">
        <w:rPr>
          <w:rFonts w:ascii="Arial" w:hAnsi="Arial" w:cs="Arial"/>
          <w:bCs/>
          <w:iCs/>
          <w:color w:val="000000"/>
          <w:sz w:val="18"/>
          <w:szCs w:val="18"/>
        </w:rPr>
        <w:t>ing</w:t>
      </w:r>
      <w:r w:rsidRPr="00C57938">
        <w:rPr>
          <w:rFonts w:ascii="Arial" w:hAnsi="Arial" w:cs="Arial"/>
          <w:bCs/>
          <w:iCs/>
          <w:color w:val="000000"/>
          <w:sz w:val="18"/>
          <w:szCs w:val="18"/>
        </w:rPr>
        <w:t xml:space="preserve"> their children during transition</w:t>
      </w:r>
      <w:r w:rsidR="00785799" w:rsidRPr="00C57938">
        <w:rPr>
          <w:rFonts w:ascii="Arial" w:hAnsi="Arial" w:cs="Arial"/>
          <w:bCs/>
          <w:iCs/>
          <w:color w:val="000000"/>
          <w:sz w:val="18"/>
          <w:szCs w:val="18"/>
        </w:rPr>
        <w:t xml:space="preserve"> and </w:t>
      </w:r>
      <w:r w:rsidR="00BF0354" w:rsidRPr="00C57938">
        <w:rPr>
          <w:rFonts w:ascii="Arial" w:hAnsi="Arial" w:cs="Arial"/>
          <w:bCs/>
          <w:iCs/>
          <w:color w:val="000000"/>
          <w:sz w:val="18"/>
          <w:szCs w:val="18"/>
        </w:rPr>
        <w:t>experience</w:t>
      </w:r>
      <w:r w:rsidRPr="00C57938">
        <w:rPr>
          <w:rFonts w:ascii="Arial" w:hAnsi="Arial" w:cs="Arial"/>
          <w:bCs/>
          <w:iCs/>
          <w:color w:val="000000"/>
          <w:sz w:val="18"/>
          <w:szCs w:val="18"/>
        </w:rPr>
        <w:t xml:space="preserve"> positive relationships with school staff are </w:t>
      </w:r>
      <w:r w:rsidR="00BF0354" w:rsidRPr="00C57938">
        <w:rPr>
          <w:rFonts w:ascii="Arial" w:hAnsi="Arial" w:cs="Arial"/>
          <w:bCs/>
          <w:iCs/>
          <w:color w:val="000000"/>
          <w:sz w:val="18"/>
          <w:szCs w:val="18"/>
        </w:rPr>
        <w:t xml:space="preserve">more </w:t>
      </w:r>
      <w:r w:rsidRPr="00C57938">
        <w:rPr>
          <w:rFonts w:ascii="Arial" w:hAnsi="Arial" w:cs="Arial"/>
          <w:bCs/>
          <w:iCs/>
          <w:color w:val="000000"/>
          <w:sz w:val="18"/>
          <w:szCs w:val="18"/>
        </w:rPr>
        <w:t xml:space="preserve">likely to continue </w:t>
      </w:r>
      <w:r w:rsidR="00BF0354" w:rsidRPr="00C57938">
        <w:rPr>
          <w:rFonts w:ascii="Arial" w:hAnsi="Arial" w:cs="Arial"/>
          <w:bCs/>
          <w:iCs/>
          <w:color w:val="000000"/>
          <w:sz w:val="18"/>
          <w:szCs w:val="18"/>
        </w:rPr>
        <w:t xml:space="preserve">to </w:t>
      </w:r>
      <w:r w:rsidR="00B841D7" w:rsidRPr="00C57938">
        <w:rPr>
          <w:rFonts w:ascii="Arial" w:hAnsi="Arial" w:cs="Arial"/>
          <w:bCs/>
          <w:iCs/>
          <w:color w:val="000000"/>
          <w:sz w:val="18"/>
          <w:szCs w:val="18"/>
        </w:rPr>
        <w:t xml:space="preserve">be </w:t>
      </w:r>
      <w:r w:rsidR="00BF0354" w:rsidRPr="00C57938">
        <w:rPr>
          <w:rFonts w:ascii="Arial" w:hAnsi="Arial" w:cs="Arial"/>
          <w:bCs/>
          <w:iCs/>
          <w:color w:val="000000"/>
          <w:sz w:val="18"/>
          <w:szCs w:val="18"/>
        </w:rPr>
        <w:t>engage</w:t>
      </w:r>
      <w:r w:rsidR="00B841D7" w:rsidRPr="00C57938">
        <w:rPr>
          <w:rFonts w:ascii="Arial" w:hAnsi="Arial" w:cs="Arial"/>
          <w:bCs/>
          <w:iCs/>
          <w:color w:val="000000"/>
          <w:sz w:val="18"/>
          <w:szCs w:val="18"/>
        </w:rPr>
        <w:t>d</w:t>
      </w:r>
      <w:r w:rsidRPr="00C57938">
        <w:rPr>
          <w:rFonts w:ascii="Arial" w:hAnsi="Arial" w:cs="Arial"/>
          <w:bCs/>
          <w:iCs/>
          <w:color w:val="000000"/>
          <w:sz w:val="18"/>
          <w:szCs w:val="18"/>
        </w:rPr>
        <w:t xml:space="preserve"> with </w:t>
      </w:r>
      <w:r w:rsidR="00BF0354" w:rsidRPr="00C57938">
        <w:rPr>
          <w:rFonts w:ascii="Arial" w:hAnsi="Arial" w:cs="Arial"/>
          <w:bCs/>
          <w:iCs/>
          <w:color w:val="000000"/>
          <w:sz w:val="18"/>
          <w:szCs w:val="18"/>
        </w:rPr>
        <w:t xml:space="preserve">the </w:t>
      </w:r>
      <w:r w:rsidRPr="00C57938">
        <w:rPr>
          <w:rFonts w:ascii="Arial" w:hAnsi="Arial" w:cs="Arial"/>
          <w:bCs/>
          <w:iCs/>
          <w:color w:val="000000"/>
          <w:sz w:val="18"/>
          <w:szCs w:val="18"/>
        </w:rPr>
        <w:t>school</w:t>
      </w:r>
      <w:r w:rsidR="00BF0354" w:rsidRPr="00C57938">
        <w:rPr>
          <w:rFonts w:ascii="Arial" w:hAnsi="Arial" w:cs="Arial"/>
          <w:bCs/>
          <w:iCs/>
          <w:color w:val="000000"/>
          <w:sz w:val="18"/>
          <w:szCs w:val="18"/>
        </w:rPr>
        <w:t xml:space="preserve"> and contribute as a member of the school community</w:t>
      </w:r>
      <w:r w:rsidRPr="00C57938">
        <w:rPr>
          <w:rFonts w:ascii="Arial" w:hAnsi="Arial" w:cs="Arial"/>
          <w:bCs/>
          <w:iCs/>
          <w:color w:val="000000"/>
          <w:sz w:val="18"/>
          <w:szCs w:val="18"/>
        </w:rPr>
        <w:t>.</w:t>
      </w:r>
    </w:p>
    <w:p w:rsidR="007521A0" w:rsidRPr="00C57938" w:rsidRDefault="00EA7B4B"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We also know that children enter school with a range of prior experiences, knowledge, skills, cultures and family contexts. Our 2013 ABS data tells us that our region has a very high kindergarten program participation rate. Given the number of children engaged in early childhood education and care </w:t>
      </w:r>
      <w:r w:rsidR="00864D3F" w:rsidRPr="00C57938">
        <w:rPr>
          <w:rFonts w:ascii="Arial" w:hAnsi="Arial" w:cs="Arial"/>
          <w:bCs/>
          <w:iCs/>
          <w:color w:val="000000"/>
          <w:sz w:val="18"/>
          <w:szCs w:val="18"/>
        </w:rPr>
        <w:t xml:space="preserve">programs </w:t>
      </w:r>
      <w:r w:rsidRPr="00C57938">
        <w:rPr>
          <w:rFonts w:ascii="Arial" w:hAnsi="Arial" w:cs="Arial"/>
          <w:bCs/>
          <w:iCs/>
          <w:color w:val="000000"/>
          <w:sz w:val="18"/>
          <w:szCs w:val="18"/>
        </w:rPr>
        <w:t>in our region</w:t>
      </w:r>
      <w:r w:rsidR="00864D3F" w:rsidRPr="00C57938">
        <w:rPr>
          <w:rFonts w:ascii="Arial" w:hAnsi="Arial" w:cs="Arial"/>
          <w:bCs/>
          <w:iCs/>
          <w:color w:val="000000"/>
          <w:sz w:val="18"/>
          <w:szCs w:val="18"/>
        </w:rPr>
        <w:t>,</w:t>
      </w:r>
      <w:r w:rsidRPr="00C57938">
        <w:rPr>
          <w:rFonts w:ascii="Arial" w:hAnsi="Arial" w:cs="Arial"/>
          <w:bCs/>
          <w:iCs/>
          <w:color w:val="000000"/>
          <w:sz w:val="18"/>
          <w:szCs w:val="18"/>
        </w:rPr>
        <w:t xml:space="preserve"> the importance of schools connecting with local service providers is valued. In North Coast region we are promoting engagement between schools and </w:t>
      </w:r>
      <w:r w:rsidR="00864D3F" w:rsidRPr="00C57938">
        <w:rPr>
          <w:rFonts w:ascii="Arial" w:hAnsi="Arial" w:cs="Arial"/>
          <w:bCs/>
          <w:iCs/>
          <w:color w:val="000000"/>
          <w:sz w:val="18"/>
          <w:szCs w:val="18"/>
        </w:rPr>
        <w:t>ECEC</w:t>
      </w:r>
      <w:r w:rsidRPr="00C57938">
        <w:rPr>
          <w:rFonts w:ascii="Arial" w:hAnsi="Arial" w:cs="Arial"/>
          <w:bCs/>
          <w:iCs/>
          <w:color w:val="000000"/>
          <w:sz w:val="18"/>
          <w:szCs w:val="18"/>
        </w:rPr>
        <w:t xml:space="preserve"> services as the conduit to </w:t>
      </w:r>
      <w:r w:rsidR="00892F64" w:rsidRPr="00C57938">
        <w:rPr>
          <w:rFonts w:ascii="Arial" w:hAnsi="Arial" w:cs="Arial"/>
          <w:bCs/>
          <w:iCs/>
          <w:color w:val="000000"/>
          <w:sz w:val="18"/>
          <w:szCs w:val="18"/>
        </w:rPr>
        <w:t xml:space="preserve">deeper </w:t>
      </w:r>
      <w:r w:rsidRPr="00C57938">
        <w:rPr>
          <w:rFonts w:ascii="Arial" w:hAnsi="Arial" w:cs="Arial"/>
          <w:bCs/>
          <w:iCs/>
          <w:color w:val="000000"/>
          <w:sz w:val="18"/>
          <w:szCs w:val="18"/>
        </w:rPr>
        <w:t>engagement with fami</w:t>
      </w:r>
      <w:r w:rsidR="00A77F44" w:rsidRPr="00C57938">
        <w:rPr>
          <w:rFonts w:ascii="Arial" w:hAnsi="Arial" w:cs="Arial"/>
          <w:bCs/>
          <w:iCs/>
          <w:color w:val="000000"/>
          <w:sz w:val="18"/>
          <w:szCs w:val="18"/>
        </w:rPr>
        <w:t>lies.</w:t>
      </w:r>
      <w:r w:rsidRPr="00C57938">
        <w:rPr>
          <w:rFonts w:ascii="Arial" w:hAnsi="Arial" w:cs="Arial"/>
          <w:bCs/>
          <w:iCs/>
          <w:color w:val="000000"/>
          <w:sz w:val="18"/>
          <w:szCs w:val="18"/>
        </w:rPr>
        <w:t xml:space="preserve"> </w:t>
      </w:r>
    </w:p>
    <w:p w:rsidR="00A77F44" w:rsidRPr="00236B8E" w:rsidRDefault="00A77F44" w:rsidP="00C57938">
      <w:pPr>
        <w:pStyle w:val="Heading3"/>
      </w:pPr>
      <w:r w:rsidRPr="00236B8E">
        <w:t>Our approach</w:t>
      </w:r>
    </w:p>
    <w:p w:rsidR="00ED3562" w:rsidRPr="00C57938" w:rsidRDefault="00626A4F"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In </w:t>
      </w:r>
      <w:r w:rsidR="00846D1A" w:rsidRPr="00C57938">
        <w:rPr>
          <w:rFonts w:ascii="Arial" w:hAnsi="Arial" w:cs="Arial"/>
          <w:bCs/>
          <w:iCs/>
          <w:color w:val="000000"/>
          <w:sz w:val="18"/>
          <w:szCs w:val="18"/>
        </w:rPr>
        <w:t>North Coast</w:t>
      </w:r>
      <w:r w:rsidRPr="00C57938">
        <w:rPr>
          <w:rFonts w:ascii="Arial" w:hAnsi="Arial" w:cs="Arial"/>
          <w:bCs/>
          <w:iCs/>
          <w:color w:val="000000"/>
          <w:sz w:val="18"/>
          <w:szCs w:val="18"/>
        </w:rPr>
        <w:t xml:space="preserve"> </w:t>
      </w:r>
      <w:r w:rsidR="00846D1A" w:rsidRPr="00C57938">
        <w:rPr>
          <w:rFonts w:ascii="Arial" w:hAnsi="Arial" w:cs="Arial"/>
          <w:bCs/>
          <w:iCs/>
          <w:color w:val="000000"/>
          <w:sz w:val="18"/>
          <w:szCs w:val="18"/>
        </w:rPr>
        <w:t>R</w:t>
      </w:r>
      <w:r w:rsidRPr="00C57938">
        <w:rPr>
          <w:rFonts w:ascii="Arial" w:hAnsi="Arial" w:cs="Arial"/>
          <w:bCs/>
          <w:iCs/>
          <w:color w:val="000000"/>
          <w:sz w:val="18"/>
          <w:szCs w:val="18"/>
        </w:rPr>
        <w:t xml:space="preserve">egion </w:t>
      </w:r>
      <w:r w:rsidR="00846D1A" w:rsidRPr="00C57938">
        <w:rPr>
          <w:rFonts w:ascii="Arial" w:hAnsi="Arial" w:cs="Arial"/>
          <w:bCs/>
          <w:iCs/>
          <w:color w:val="000000"/>
          <w:sz w:val="18"/>
          <w:szCs w:val="18"/>
        </w:rPr>
        <w:t xml:space="preserve">we invest time in supporting school teams and their transition partners to explore the principle of trusting partnerships and action area reciprocal relationships described in the </w:t>
      </w:r>
      <w:hyperlink r:id="rId5" w:history="1">
        <w:r w:rsidR="00846D1A" w:rsidRPr="00C57938">
          <w:rPr>
            <w:rFonts w:ascii="Arial" w:hAnsi="Arial" w:cs="Arial"/>
            <w:bCs/>
            <w:iCs/>
            <w:color w:val="000000"/>
            <w:sz w:val="18"/>
            <w:szCs w:val="18"/>
          </w:rPr>
          <w:t>Supporting successful transitions: school decision-making tool</w:t>
        </w:r>
      </w:hyperlink>
      <w:r w:rsidR="00846D1A" w:rsidRPr="00C57938">
        <w:rPr>
          <w:rFonts w:ascii="Arial" w:hAnsi="Arial" w:cs="Arial"/>
          <w:bCs/>
          <w:iCs/>
          <w:color w:val="000000"/>
          <w:sz w:val="18"/>
          <w:szCs w:val="18"/>
        </w:rPr>
        <w:t xml:space="preserve">. </w:t>
      </w:r>
    </w:p>
    <w:p w:rsidR="00ED3562" w:rsidRPr="00C57938" w:rsidRDefault="00ED3562"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We</w:t>
      </w:r>
      <w:r w:rsidR="00846D1A" w:rsidRPr="00C57938">
        <w:rPr>
          <w:rFonts w:ascii="Arial" w:hAnsi="Arial" w:cs="Arial"/>
          <w:bCs/>
          <w:iCs/>
          <w:color w:val="000000"/>
          <w:sz w:val="18"/>
          <w:szCs w:val="18"/>
        </w:rPr>
        <w:t xml:space="preserve"> emphasis</w:t>
      </w:r>
      <w:r w:rsidRPr="00C57938">
        <w:rPr>
          <w:rFonts w:ascii="Arial" w:hAnsi="Arial" w:cs="Arial"/>
          <w:bCs/>
          <w:iCs/>
          <w:color w:val="000000"/>
          <w:sz w:val="18"/>
          <w:szCs w:val="18"/>
        </w:rPr>
        <w:t>e</w:t>
      </w:r>
      <w:r w:rsidR="00846D1A" w:rsidRPr="00C57938">
        <w:rPr>
          <w:rFonts w:ascii="Arial" w:hAnsi="Arial" w:cs="Arial"/>
          <w:bCs/>
          <w:iCs/>
          <w:color w:val="000000"/>
          <w:sz w:val="18"/>
          <w:szCs w:val="18"/>
        </w:rPr>
        <w:t xml:space="preserve"> </w:t>
      </w:r>
      <w:r w:rsidR="005C0C7B" w:rsidRPr="00C57938">
        <w:rPr>
          <w:rFonts w:ascii="Arial" w:hAnsi="Arial" w:cs="Arial"/>
          <w:bCs/>
          <w:iCs/>
          <w:color w:val="000000"/>
          <w:sz w:val="18"/>
          <w:szCs w:val="18"/>
        </w:rPr>
        <w:t>a model which unpacks</w:t>
      </w:r>
      <w:r w:rsidR="00846D1A" w:rsidRPr="00C57938">
        <w:rPr>
          <w:rFonts w:ascii="Arial" w:hAnsi="Arial" w:cs="Arial"/>
          <w:bCs/>
          <w:iCs/>
          <w:color w:val="000000"/>
          <w:sz w:val="18"/>
          <w:szCs w:val="18"/>
        </w:rPr>
        <w:t xml:space="preserve"> </w:t>
      </w:r>
      <w:proofErr w:type="gramStart"/>
      <w:r w:rsidR="00846D1A" w:rsidRPr="00C57938">
        <w:rPr>
          <w:rFonts w:ascii="Arial" w:hAnsi="Arial" w:cs="Arial"/>
          <w:bCs/>
          <w:iCs/>
          <w:color w:val="000000"/>
          <w:sz w:val="18"/>
          <w:szCs w:val="18"/>
        </w:rPr>
        <w:t>the who</w:t>
      </w:r>
      <w:proofErr w:type="gramEnd"/>
      <w:r w:rsidR="00846D1A" w:rsidRPr="00C57938">
        <w:rPr>
          <w:rFonts w:ascii="Arial" w:hAnsi="Arial" w:cs="Arial"/>
          <w:bCs/>
          <w:iCs/>
          <w:color w:val="000000"/>
          <w:sz w:val="18"/>
          <w:szCs w:val="18"/>
        </w:rPr>
        <w:t>, why, what, how and when of positive relationships</w:t>
      </w:r>
      <w:r w:rsidR="009C2D94" w:rsidRPr="00C57938">
        <w:rPr>
          <w:rFonts w:ascii="Arial" w:hAnsi="Arial" w:cs="Arial"/>
          <w:bCs/>
          <w:iCs/>
          <w:color w:val="000000"/>
          <w:sz w:val="18"/>
          <w:szCs w:val="18"/>
        </w:rPr>
        <w:t>. To do this we</w:t>
      </w:r>
      <w:r w:rsidR="00846D1A" w:rsidRPr="00C57938">
        <w:rPr>
          <w:rFonts w:ascii="Arial" w:hAnsi="Arial" w:cs="Arial"/>
          <w:bCs/>
          <w:iCs/>
          <w:color w:val="000000"/>
          <w:sz w:val="18"/>
          <w:szCs w:val="18"/>
        </w:rPr>
        <w:t xml:space="preserve"> firstly </w:t>
      </w:r>
      <w:r w:rsidR="006B1227" w:rsidRPr="00C57938">
        <w:rPr>
          <w:rFonts w:ascii="Arial" w:hAnsi="Arial" w:cs="Arial"/>
          <w:bCs/>
          <w:iCs/>
          <w:color w:val="000000"/>
          <w:sz w:val="18"/>
          <w:szCs w:val="18"/>
        </w:rPr>
        <w:t>ask school teams to think about their existing practices, focusing on the reasons for engaging others, the outcomes achieved and whether these outcomes match what was intended or anticipated. This process of self-reflection can help identify whether current practices are supporting the school to move forward or whether they simply reaffirm existing outcomes</w:t>
      </w:r>
      <w:r w:rsidR="00E04F00" w:rsidRPr="00C57938">
        <w:rPr>
          <w:rFonts w:ascii="Arial" w:hAnsi="Arial" w:cs="Arial"/>
          <w:bCs/>
          <w:iCs/>
          <w:color w:val="000000"/>
          <w:sz w:val="18"/>
          <w:szCs w:val="18"/>
        </w:rPr>
        <w:t xml:space="preserve">. </w:t>
      </w:r>
    </w:p>
    <w:p w:rsidR="005E49EC" w:rsidRPr="00236B8E" w:rsidRDefault="00E04F00" w:rsidP="00C57938">
      <w:pPr>
        <w:spacing w:after="200" w:line="276" w:lineRule="auto"/>
      </w:pPr>
      <w:r w:rsidRPr="00C57938">
        <w:rPr>
          <w:rFonts w:ascii="Arial" w:hAnsi="Arial" w:cs="Arial"/>
          <w:bCs/>
          <w:iCs/>
          <w:color w:val="000000"/>
          <w:sz w:val="18"/>
          <w:szCs w:val="18"/>
        </w:rPr>
        <w:t xml:space="preserve">The matrix in the </w:t>
      </w:r>
      <w:r w:rsidR="00864D3F" w:rsidRPr="00C57938">
        <w:rPr>
          <w:rFonts w:ascii="Arial" w:hAnsi="Arial" w:cs="Arial"/>
          <w:bCs/>
          <w:iCs/>
          <w:color w:val="000000"/>
          <w:sz w:val="18"/>
          <w:szCs w:val="18"/>
        </w:rPr>
        <w:t xml:space="preserve">School </w:t>
      </w:r>
      <w:r w:rsidRPr="00C57938">
        <w:rPr>
          <w:rFonts w:ascii="Arial" w:hAnsi="Arial" w:cs="Arial"/>
          <w:bCs/>
          <w:iCs/>
          <w:color w:val="000000"/>
          <w:sz w:val="18"/>
          <w:szCs w:val="18"/>
        </w:rPr>
        <w:t xml:space="preserve">decision-making tool </w:t>
      </w:r>
      <w:r w:rsidR="005E49EC" w:rsidRPr="00C57938">
        <w:rPr>
          <w:rFonts w:ascii="Arial" w:hAnsi="Arial" w:cs="Arial"/>
          <w:bCs/>
          <w:iCs/>
          <w:color w:val="000000"/>
          <w:sz w:val="18"/>
          <w:szCs w:val="18"/>
        </w:rPr>
        <w:t>(</w:t>
      </w:r>
      <w:r w:rsidR="00785799" w:rsidRPr="00C57938">
        <w:rPr>
          <w:rFonts w:ascii="Arial" w:hAnsi="Arial" w:cs="Arial"/>
          <w:bCs/>
          <w:iCs/>
          <w:color w:val="000000"/>
          <w:sz w:val="18"/>
          <w:szCs w:val="18"/>
        </w:rPr>
        <w:t>p.</w:t>
      </w:r>
      <w:r w:rsidR="005E49EC" w:rsidRPr="00C57938">
        <w:rPr>
          <w:rFonts w:ascii="Arial" w:hAnsi="Arial" w:cs="Arial"/>
          <w:bCs/>
          <w:iCs/>
          <w:color w:val="000000"/>
          <w:sz w:val="18"/>
          <w:szCs w:val="18"/>
        </w:rPr>
        <w:t xml:space="preserve"> 11) </w:t>
      </w:r>
      <w:r w:rsidRPr="00C57938">
        <w:rPr>
          <w:rFonts w:ascii="Arial" w:hAnsi="Arial" w:cs="Arial"/>
          <w:bCs/>
          <w:iCs/>
          <w:color w:val="000000"/>
          <w:sz w:val="18"/>
          <w:szCs w:val="18"/>
        </w:rPr>
        <w:t>is a useful starting point</w:t>
      </w:r>
      <w:r w:rsidR="006B1227" w:rsidRPr="00C57938">
        <w:rPr>
          <w:rFonts w:ascii="Arial" w:hAnsi="Arial" w:cs="Arial"/>
          <w:bCs/>
          <w:iCs/>
          <w:color w:val="000000"/>
          <w:sz w:val="18"/>
          <w:szCs w:val="18"/>
        </w:rPr>
        <w:t xml:space="preserve"> </w:t>
      </w:r>
      <w:r w:rsidRPr="00C57938">
        <w:rPr>
          <w:rFonts w:ascii="Arial" w:hAnsi="Arial" w:cs="Arial"/>
          <w:bCs/>
          <w:iCs/>
          <w:color w:val="000000"/>
          <w:sz w:val="18"/>
          <w:szCs w:val="18"/>
        </w:rPr>
        <w:t>and helps frame conversations about id</w:t>
      </w:r>
      <w:r w:rsidR="005E49EC" w:rsidRPr="00C57938">
        <w:rPr>
          <w:rFonts w:ascii="Arial" w:hAnsi="Arial" w:cs="Arial"/>
          <w:bCs/>
          <w:iCs/>
          <w:color w:val="000000"/>
          <w:sz w:val="18"/>
          <w:szCs w:val="18"/>
        </w:rPr>
        <w:t>entifying transition partners (</w:t>
      </w:r>
      <w:r w:rsidR="003C3C1B" w:rsidRPr="00C57938">
        <w:rPr>
          <w:rFonts w:ascii="Arial" w:hAnsi="Arial" w:cs="Arial"/>
          <w:bCs/>
          <w:iCs/>
          <w:color w:val="000000"/>
          <w:sz w:val="18"/>
          <w:szCs w:val="18"/>
        </w:rPr>
        <w:t xml:space="preserve">the </w:t>
      </w:r>
      <w:r w:rsidR="005E49EC" w:rsidRPr="00C57938">
        <w:rPr>
          <w:rFonts w:ascii="Arial" w:hAnsi="Arial" w:cs="Arial"/>
          <w:b/>
          <w:bCs/>
          <w:i/>
          <w:iCs/>
          <w:color w:val="000000"/>
          <w:sz w:val="18"/>
          <w:szCs w:val="18"/>
        </w:rPr>
        <w:t>w</w:t>
      </w:r>
      <w:r w:rsidRPr="00C57938">
        <w:rPr>
          <w:rFonts w:ascii="Arial" w:hAnsi="Arial" w:cs="Arial"/>
          <w:b/>
          <w:bCs/>
          <w:i/>
          <w:iCs/>
          <w:color w:val="000000"/>
          <w:sz w:val="18"/>
          <w:szCs w:val="18"/>
        </w:rPr>
        <w:t>ho</w:t>
      </w:r>
      <w:r w:rsidRPr="00C57938">
        <w:rPr>
          <w:rFonts w:ascii="Arial" w:hAnsi="Arial" w:cs="Arial"/>
          <w:bCs/>
          <w:iCs/>
          <w:color w:val="000000"/>
          <w:sz w:val="18"/>
          <w:szCs w:val="18"/>
        </w:rPr>
        <w:t xml:space="preserve">), </w:t>
      </w:r>
      <w:r w:rsidR="005E49EC" w:rsidRPr="00C57938">
        <w:rPr>
          <w:rFonts w:ascii="Arial" w:hAnsi="Arial" w:cs="Arial"/>
          <w:bCs/>
          <w:iCs/>
          <w:color w:val="000000"/>
          <w:sz w:val="18"/>
          <w:szCs w:val="18"/>
        </w:rPr>
        <w:t>reasons for</w:t>
      </w:r>
      <w:r w:rsidRPr="00C57938">
        <w:rPr>
          <w:rFonts w:ascii="Arial" w:hAnsi="Arial" w:cs="Arial"/>
          <w:bCs/>
          <w:iCs/>
          <w:color w:val="000000"/>
          <w:sz w:val="18"/>
          <w:szCs w:val="18"/>
        </w:rPr>
        <w:t xml:space="preserve"> engaging with partners (</w:t>
      </w:r>
      <w:r w:rsidR="003C3C1B" w:rsidRPr="00C57938">
        <w:rPr>
          <w:rFonts w:ascii="Arial" w:hAnsi="Arial" w:cs="Arial"/>
          <w:bCs/>
          <w:iCs/>
          <w:color w:val="000000"/>
          <w:sz w:val="18"/>
          <w:szCs w:val="18"/>
        </w:rPr>
        <w:t xml:space="preserve">the </w:t>
      </w:r>
      <w:r w:rsidRPr="00C57938">
        <w:rPr>
          <w:rFonts w:ascii="Arial" w:hAnsi="Arial" w:cs="Arial"/>
          <w:b/>
          <w:bCs/>
          <w:i/>
          <w:iCs/>
          <w:color w:val="000000"/>
          <w:sz w:val="18"/>
          <w:szCs w:val="18"/>
        </w:rPr>
        <w:t>why</w:t>
      </w:r>
      <w:r w:rsidRPr="00C57938">
        <w:rPr>
          <w:rFonts w:ascii="Arial" w:hAnsi="Arial" w:cs="Arial"/>
          <w:bCs/>
          <w:iCs/>
          <w:color w:val="000000"/>
          <w:sz w:val="18"/>
          <w:szCs w:val="18"/>
        </w:rPr>
        <w:t xml:space="preserve">) and </w:t>
      </w:r>
      <w:r w:rsidR="005E49EC" w:rsidRPr="00C57938">
        <w:rPr>
          <w:rFonts w:ascii="Arial" w:hAnsi="Arial" w:cs="Arial"/>
          <w:bCs/>
          <w:iCs/>
          <w:color w:val="000000"/>
          <w:sz w:val="18"/>
          <w:szCs w:val="18"/>
        </w:rPr>
        <w:t>the benefits or outcomes as a result of engaging with partners (</w:t>
      </w:r>
      <w:r w:rsidR="003C3C1B" w:rsidRPr="00C57938">
        <w:rPr>
          <w:rFonts w:ascii="Arial" w:hAnsi="Arial" w:cs="Arial"/>
          <w:bCs/>
          <w:iCs/>
          <w:color w:val="000000"/>
          <w:sz w:val="18"/>
          <w:szCs w:val="18"/>
        </w:rPr>
        <w:t xml:space="preserve">the </w:t>
      </w:r>
      <w:r w:rsidRPr="00C57938">
        <w:rPr>
          <w:rFonts w:ascii="Arial" w:hAnsi="Arial" w:cs="Arial"/>
          <w:b/>
          <w:bCs/>
          <w:i/>
          <w:iCs/>
          <w:color w:val="000000"/>
          <w:sz w:val="18"/>
          <w:szCs w:val="18"/>
        </w:rPr>
        <w:t>what</w:t>
      </w:r>
      <w:r w:rsidR="005E49EC" w:rsidRPr="00C57938">
        <w:rPr>
          <w:rFonts w:ascii="Arial" w:hAnsi="Arial" w:cs="Arial"/>
          <w:bCs/>
          <w:iCs/>
          <w:color w:val="000000"/>
          <w:sz w:val="18"/>
          <w:szCs w:val="18"/>
        </w:rPr>
        <w:t xml:space="preserve">). </w:t>
      </w:r>
    </w:p>
    <w:p w:rsidR="006C4B65" w:rsidRPr="00236B8E" w:rsidRDefault="005C0C7B" w:rsidP="00236B8E">
      <w:pPr>
        <w:pStyle w:val="Heading3"/>
        <w:jc w:val="both"/>
        <w:rPr>
          <w:rFonts w:asciiTheme="minorHAnsi" w:hAnsiTheme="minorHAnsi"/>
        </w:rPr>
      </w:pPr>
      <w:r w:rsidRPr="00236B8E">
        <w:rPr>
          <w:rFonts w:asciiTheme="minorHAnsi" w:hAnsiTheme="minorHAnsi"/>
        </w:rPr>
        <w:lastRenderedPageBreak/>
        <w:t>Model for building positive relationships</w:t>
      </w:r>
    </w:p>
    <w:p w:rsidR="007521A0" w:rsidRPr="00236B8E" w:rsidRDefault="00994AAE" w:rsidP="00236B8E">
      <w:pPr>
        <w:spacing w:before="240" w:after="120"/>
        <w:jc w:val="both"/>
        <w:rPr>
          <w:b/>
        </w:rPr>
      </w:pPr>
      <w:r>
        <w:rPr>
          <w:noProof/>
        </w:rPr>
        <w:pict>
          <v:group id="_x0000_s1029" style="position:absolute;left:0;text-align:left;margin-left:168.1pt;margin-top:28.8pt;width:76.15pt;height:71.55pt;z-index:251658240" coordorigin="4834,3230" coordsize="1523,1431">
            <v:oval id="Oval 3" o:spid="_x0000_s1027" style="position:absolute;left:4834;top:3230;width:1523;height:143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" fillcolor="#4f81bd [3204]" strokecolor="#243f60 [1604]" strokeweight="2pt">
              <v:fill opacity="35466f"/>
            </v:oval>
            <v:shapetype id="_x0000_t202" coordsize="21600,21600" o:spt="202" path="m,l,21600r21600,l21600,xe">
              <v:stroke joinstyle="miter"/>
              <v:path gradientshapeok="t" o:connecttype="rect"/>
            </v:shapetype>
            <v:shape id="Text Box 2" o:spid="_x0000_s1028" type="#_x0000_t202" style="position:absolute;left:5036;top:3360;width:1157;height:1231;visibility:visible;mso-position-horizontal-relative:margin;mso-width-relative:margin;mso-height-relative:margin" filled="f" fillcolor="white [3201]" stroked="f" strokeweight=".5pt">
              <v:textbox style="mso-next-textbox:#Text Box 2">
                <w:txbxContent>
                  <w:p w:rsidR="00FE4B9E" w:rsidRPr="00407EAA" w:rsidRDefault="00FE4B9E" w:rsidP="009C2D94">
                    <w:pPr>
                      <w:jc w:val="center"/>
                      <w:rPr>
                        <w:szCs w:val="32"/>
                      </w:rPr>
                    </w:pPr>
                    <w:r w:rsidRPr="00407EAA">
                      <w:rPr>
                        <w:szCs w:val="32"/>
                      </w:rPr>
                      <w:t>Rapport</w:t>
                    </w:r>
                  </w:p>
                  <w:p w:rsidR="00FE4B9E" w:rsidRPr="00407EAA" w:rsidRDefault="00FE4B9E" w:rsidP="009C2D94">
                    <w:pPr>
                      <w:jc w:val="center"/>
                      <w:rPr>
                        <w:szCs w:val="32"/>
                      </w:rPr>
                    </w:pPr>
                    <w:r w:rsidRPr="00407EAA">
                      <w:rPr>
                        <w:szCs w:val="32"/>
                      </w:rPr>
                      <w:t>Trust</w:t>
                    </w:r>
                  </w:p>
                  <w:p w:rsidR="00FE4B9E" w:rsidRPr="00407EAA" w:rsidRDefault="00FE4B9E" w:rsidP="009C2D94">
                    <w:pPr>
                      <w:jc w:val="center"/>
                      <w:rPr>
                        <w:szCs w:val="32"/>
                      </w:rPr>
                    </w:pPr>
                    <w:r w:rsidRPr="00407EAA">
                      <w:rPr>
                        <w:szCs w:val="32"/>
                      </w:rPr>
                      <w:t>Share</w:t>
                    </w:r>
                  </w:p>
                  <w:p w:rsidR="00FE4B9E" w:rsidRPr="00407EAA" w:rsidRDefault="00FE4B9E" w:rsidP="009C2D94">
                    <w:pPr>
                      <w:jc w:val="center"/>
                      <w:rPr>
                        <w:szCs w:val="32"/>
                      </w:rPr>
                    </w:pPr>
                    <w:r w:rsidRPr="00407EAA">
                      <w:rPr>
                        <w:szCs w:val="32"/>
                      </w:rPr>
                      <w:t>Relate</w:t>
                    </w:r>
                  </w:p>
                </w:txbxContent>
              </v:textbox>
            </v:shape>
          </v:group>
        </w:pict>
      </w:r>
      <w:r w:rsidR="00FE4B9E" w:rsidRPr="00236B8E">
        <w:rPr>
          <w:noProof/>
        </w:rPr>
        <w:drawing>
          <wp:anchor distT="0" distB="0" distL="114300" distR="114300" simplePos="0" relativeHeight="251654139" behindDoc="0" locked="0" layoutInCell="1" allowOverlap="1" wp14:anchorId="2F1A2ABB" wp14:editId="19E6029B">
            <wp:simplePos x="0" y="0"/>
            <wp:positionH relativeFrom="margin">
              <wp:posOffset>1649095</wp:posOffset>
            </wp:positionH>
            <wp:positionV relativeFrom="paragraph">
              <wp:posOffset>16139</wp:posOffset>
            </wp:positionV>
            <wp:extent cx="2024380" cy="1659890"/>
            <wp:effectExtent l="0" t="0" r="0" b="0"/>
            <wp:wrapNone/>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rsidR="007521A0" w:rsidRPr="00236B8E" w:rsidRDefault="007521A0" w:rsidP="00236B8E">
      <w:pPr>
        <w:spacing w:before="240" w:after="120"/>
        <w:jc w:val="both"/>
        <w:rPr>
          <w:b/>
        </w:rPr>
      </w:pPr>
    </w:p>
    <w:p w:rsidR="007521A0" w:rsidRPr="00236B8E" w:rsidRDefault="007521A0" w:rsidP="00236B8E">
      <w:pPr>
        <w:spacing w:before="240" w:after="120"/>
        <w:jc w:val="both"/>
        <w:rPr>
          <w:b/>
        </w:rPr>
      </w:pPr>
    </w:p>
    <w:p w:rsidR="007521A0" w:rsidRPr="00236B8E" w:rsidRDefault="007521A0" w:rsidP="00236B8E">
      <w:pPr>
        <w:spacing w:before="240" w:after="120"/>
        <w:jc w:val="both"/>
        <w:rPr>
          <w:b/>
        </w:rPr>
      </w:pPr>
    </w:p>
    <w:p w:rsidR="00FE4B9E" w:rsidRPr="00236B8E" w:rsidRDefault="00FE4B9E" w:rsidP="00236B8E">
      <w:pPr>
        <w:pStyle w:val="Heading3"/>
        <w:jc w:val="both"/>
        <w:rPr>
          <w:rFonts w:asciiTheme="minorHAnsi" w:hAnsiTheme="minorHAnsi"/>
        </w:rPr>
      </w:pPr>
    </w:p>
    <w:p w:rsidR="006C4B65" w:rsidRPr="00236B8E" w:rsidRDefault="006C4B65" w:rsidP="00C57938">
      <w:pPr>
        <w:pStyle w:val="Heading3"/>
      </w:pPr>
      <w:r w:rsidRPr="00236B8E">
        <w:t xml:space="preserve">Starting the conversation </w:t>
      </w:r>
    </w:p>
    <w:p w:rsidR="006C4B65" w:rsidRPr="00C57938" w:rsidRDefault="006C4B65"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Schools</w:t>
      </w:r>
      <w:r w:rsidR="006E49D8" w:rsidRPr="00C57938">
        <w:rPr>
          <w:rFonts w:ascii="Arial" w:hAnsi="Arial" w:cs="Arial"/>
          <w:bCs/>
          <w:iCs/>
          <w:color w:val="000000"/>
          <w:sz w:val="18"/>
          <w:szCs w:val="18"/>
        </w:rPr>
        <w:t xml:space="preserve"> can be </w:t>
      </w:r>
      <w:r w:rsidRPr="00C57938">
        <w:rPr>
          <w:rFonts w:ascii="Arial" w:hAnsi="Arial" w:cs="Arial"/>
          <w:bCs/>
          <w:iCs/>
          <w:color w:val="000000"/>
          <w:sz w:val="18"/>
          <w:szCs w:val="18"/>
        </w:rPr>
        <w:t xml:space="preserve">action focused and </w:t>
      </w:r>
      <w:r w:rsidR="006E49D8" w:rsidRPr="00C57938">
        <w:rPr>
          <w:rFonts w:ascii="Arial" w:hAnsi="Arial" w:cs="Arial"/>
          <w:bCs/>
          <w:iCs/>
          <w:color w:val="000000"/>
          <w:sz w:val="18"/>
          <w:szCs w:val="18"/>
        </w:rPr>
        <w:t xml:space="preserve">may </w:t>
      </w:r>
      <w:r w:rsidRPr="00C57938">
        <w:rPr>
          <w:rFonts w:ascii="Arial" w:hAnsi="Arial" w:cs="Arial"/>
          <w:bCs/>
          <w:iCs/>
          <w:color w:val="000000"/>
          <w:sz w:val="18"/>
          <w:szCs w:val="18"/>
        </w:rPr>
        <w:t xml:space="preserve">often start the process of relationship building with a discussion about what they want to achieve. We encourage schools </w:t>
      </w:r>
      <w:r w:rsidR="003E070F" w:rsidRPr="00C57938">
        <w:rPr>
          <w:rFonts w:ascii="Arial" w:hAnsi="Arial" w:cs="Arial"/>
          <w:bCs/>
          <w:iCs/>
          <w:color w:val="000000"/>
          <w:sz w:val="18"/>
          <w:szCs w:val="18"/>
        </w:rPr>
        <w:t xml:space="preserve">in our region </w:t>
      </w:r>
      <w:r w:rsidRPr="00C57938">
        <w:rPr>
          <w:rFonts w:ascii="Arial" w:hAnsi="Arial" w:cs="Arial"/>
          <w:bCs/>
          <w:iCs/>
          <w:color w:val="000000"/>
          <w:sz w:val="18"/>
          <w:szCs w:val="18"/>
        </w:rPr>
        <w:t xml:space="preserve">to </w:t>
      </w:r>
      <w:r w:rsidR="00785799" w:rsidRPr="00C57938">
        <w:rPr>
          <w:rFonts w:ascii="Arial" w:hAnsi="Arial" w:cs="Arial"/>
          <w:bCs/>
          <w:iCs/>
          <w:color w:val="000000"/>
          <w:sz w:val="18"/>
          <w:szCs w:val="18"/>
        </w:rPr>
        <w:t>consider</w:t>
      </w:r>
      <w:r w:rsidRPr="00C57938">
        <w:rPr>
          <w:rFonts w:ascii="Arial" w:hAnsi="Arial" w:cs="Arial"/>
          <w:bCs/>
          <w:iCs/>
          <w:color w:val="000000"/>
          <w:sz w:val="18"/>
          <w:szCs w:val="18"/>
        </w:rPr>
        <w:t xml:space="preserve"> the relationship as the outcome. This can be a mind-shift for principals and we advocate that the benefits will flow once the relationship is established and trust developed. </w:t>
      </w:r>
    </w:p>
    <w:p w:rsidR="006C4B65" w:rsidRPr="00C57938" w:rsidRDefault="0021737B"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We encourage schools</w:t>
      </w:r>
      <w:r w:rsidR="005E49EC" w:rsidRPr="00C57938">
        <w:rPr>
          <w:rFonts w:ascii="Arial" w:hAnsi="Arial" w:cs="Arial"/>
          <w:bCs/>
          <w:iCs/>
          <w:color w:val="000000"/>
          <w:sz w:val="18"/>
          <w:szCs w:val="18"/>
        </w:rPr>
        <w:t xml:space="preserve"> to utilise </w:t>
      </w:r>
      <w:r w:rsidR="006C4B65" w:rsidRPr="00C57938">
        <w:rPr>
          <w:rFonts w:ascii="Arial" w:hAnsi="Arial" w:cs="Arial"/>
          <w:bCs/>
          <w:iCs/>
          <w:color w:val="000000"/>
          <w:sz w:val="18"/>
          <w:szCs w:val="18"/>
        </w:rPr>
        <w:t xml:space="preserve">their </w:t>
      </w:r>
      <w:r w:rsidR="00EA7B4B" w:rsidRPr="00C57938">
        <w:rPr>
          <w:rFonts w:ascii="Arial" w:hAnsi="Arial" w:cs="Arial"/>
          <w:bCs/>
          <w:iCs/>
          <w:color w:val="000000"/>
          <w:sz w:val="18"/>
          <w:szCs w:val="18"/>
        </w:rPr>
        <w:t xml:space="preserve">AEDC </w:t>
      </w:r>
      <w:r w:rsidR="006C4B65" w:rsidRPr="00C57938">
        <w:rPr>
          <w:rFonts w:ascii="Arial" w:hAnsi="Arial" w:cs="Arial"/>
          <w:bCs/>
          <w:iCs/>
          <w:color w:val="000000"/>
          <w:sz w:val="18"/>
          <w:szCs w:val="18"/>
        </w:rPr>
        <w:t xml:space="preserve">school and </w:t>
      </w:r>
      <w:r w:rsidR="00EA7B4B" w:rsidRPr="00C57938">
        <w:rPr>
          <w:rFonts w:ascii="Arial" w:hAnsi="Arial" w:cs="Arial"/>
          <w:bCs/>
          <w:iCs/>
          <w:color w:val="000000"/>
          <w:sz w:val="18"/>
          <w:szCs w:val="18"/>
        </w:rPr>
        <w:t xml:space="preserve">community data as a way </w:t>
      </w:r>
      <w:r w:rsidR="006C4B65" w:rsidRPr="00C57938">
        <w:rPr>
          <w:rFonts w:ascii="Arial" w:hAnsi="Arial" w:cs="Arial"/>
          <w:bCs/>
          <w:iCs/>
          <w:color w:val="000000"/>
          <w:sz w:val="18"/>
          <w:szCs w:val="18"/>
        </w:rPr>
        <w:t>of</w:t>
      </w:r>
      <w:r w:rsidR="00EA7B4B" w:rsidRPr="00C57938">
        <w:rPr>
          <w:rFonts w:ascii="Arial" w:hAnsi="Arial" w:cs="Arial"/>
          <w:bCs/>
          <w:iCs/>
          <w:color w:val="000000"/>
          <w:sz w:val="18"/>
          <w:szCs w:val="18"/>
        </w:rPr>
        <w:t xml:space="preserve"> </w:t>
      </w:r>
      <w:r w:rsidR="00626A4F" w:rsidRPr="00C57938">
        <w:rPr>
          <w:rFonts w:ascii="Arial" w:hAnsi="Arial" w:cs="Arial"/>
          <w:bCs/>
          <w:iCs/>
          <w:color w:val="000000"/>
          <w:sz w:val="18"/>
          <w:szCs w:val="18"/>
        </w:rPr>
        <w:t>c</w:t>
      </w:r>
      <w:r w:rsidR="00EA7B4B" w:rsidRPr="00C57938">
        <w:rPr>
          <w:rFonts w:ascii="Arial" w:hAnsi="Arial" w:cs="Arial"/>
          <w:bCs/>
          <w:iCs/>
          <w:color w:val="000000"/>
          <w:sz w:val="18"/>
          <w:szCs w:val="18"/>
        </w:rPr>
        <w:t>onnect</w:t>
      </w:r>
      <w:r w:rsidR="006C4B65" w:rsidRPr="00C57938">
        <w:rPr>
          <w:rFonts w:ascii="Arial" w:hAnsi="Arial" w:cs="Arial"/>
          <w:bCs/>
          <w:iCs/>
          <w:color w:val="000000"/>
          <w:sz w:val="18"/>
          <w:szCs w:val="18"/>
        </w:rPr>
        <w:t>ing</w:t>
      </w:r>
      <w:r w:rsidR="00626A4F" w:rsidRPr="00C57938">
        <w:rPr>
          <w:rFonts w:ascii="Arial" w:hAnsi="Arial" w:cs="Arial"/>
          <w:bCs/>
          <w:iCs/>
          <w:color w:val="000000"/>
          <w:sz w:val="18"/>
          <w:szCs w:val="18"/>
        </w:rPr>
        <w:t xml:space="preserve"> with </w:t>
      </w:r>
      <w:r w:rsidR="006C4B65" w:rsidRPr="00C57938">
        <w:rPr>
          <w:rFonts w:ascii="Arial" w:hAnsi="Arial" w:cs="Arial"/>
          <w:bCs/>
          <w:iCs/>
          <w:color w:val="000000"/>
          <w:sz w:val="18"/>
          <w:szCs w:val="18"/>
        </w:rPr>
        <w:t xml:space="preserve">local </w:t>
      </w:r>
      <w:r w:rsidR="00864D3F" w:rsidRPr="00C57938">
        <w:rPr>
          <w:rFonts w:ascii="Arial" w:hAnsi="Arial" w:cs="Arial"/>
          <w:bCs/>
          <w:iCs/>
          <w:color w:val="000000"/>
          <w:sz w:val="18"/>
          <w:szCs w:val="18"/>
        </w:rPr>
        <w:t>ECEC</w:t>
      </w:r>
      <w:r w:rsidR="00626A4F" w:rsidRPr="00C57938">
        <w:rPr>
          <w:rFonts w:ascii="Arial" w:hAnsi="Arial" w:cs="Arial"/>
          <w:bCs/>
          <w:iCs/>
          <w:color w:val="000000"/>
          <w:sz w:val="18"/>
          <w:szCs w:val="18"/>
        </w:rPr>
        <w:t xml:space="preserve"> </w:t>
      </w:r>
      <w:r w:rsidR="003E070F" w:rsidRPr="00C57938">
        <w:rPr>
          <w:rFonts w:ascii="Arial" w:hAnsi="Arial" w:cs="Arial"/>
          <w:bCs/>
          <w:iCs/>
          <w:color w:val="000000"/>
          <w:sz w:val="18"/>
          <w:szCs w:val="18"/>
        </w:rPr>
        <w:t>educators</w:t>
      </w:r>
      <w:r w:rsidR="00626A4F" w:rsidRPr="00C57938">
        <w:rPr>
          <w:rFonts w:ascii="Arial" w:hAnsi="Arial" w:cs="Arial"/>
          <w:bCs/>
          <w:iCs/>
          <w:color w:val="000000"/>
          <w:sz w:val="18"/>
          <w:szCs w:val="18"/>
        </w:rPr>
        <w:t xml:space="preserve">. We find it provides a safe space to discuss the complexities of the communities in which </w:t>
      </w:r>
      <w:r w:rsidR="00EA7B4B" w:rsidRPr="00C57938">
        <w:rPr>
          <w:rFonts w:ascii="Arial" w:hAnsi="Arial" w:cs="Arial"/>
          <w:bCs/>
          <w:iCs/>
          <w:color w:val="000000"/>
          <w:sz w:val="18"/>
          <w:szCs w:val="18"/>
        </w:rPr>
        <w:t xml:space="preserve">both services operate and provides a structure for </w:t>
      </w:r>
      <w:r w:rsidR="006C4B65" w:rsidRPr="00C57938">
        <w:rPr>
          <w:rFonts w:ascii="Arial" w:hAnsi="Arial" w:cs="Arial"/>
          <w:bCs/>
          <w:iCs/>
          <w:color w:val="000000"/>
          <w:sz w:val="18"/>
          <w:szCs w:val="18"/>
        </w:rPr>
        <w:t xml:space="preserve">shared language and understanding. </w:t>
      </w:r>
      <w:r w:rsidR="00645A4C" w:rsidRPr="00C57938">
        <w:rPr>
          <w:rFonts w:ascii="Arial" w:hAnsi="Arial" w:cs="Arial"/>
          <w:bCs/>
          <w:iCs/>
          <w:color w:val="000000"/>
          <w:sz w:val="18"/>
          <w:szCs w:val="18"/>
        </w:rPr>
        <w:t>Through this process</w:t>
      </w:r>
      <w:r w:rsidR="00233825" w:rsidRPr="00C57938">
        <w:rPr>
          <w:rFonts w:ascii="Arial" w:hAnsi="Arial" w:cs="Arial"/>
          <w:bCs/>
          <w:iCs/>
          <w:color w:val="000000"/>
          <w:sz w:val="18"/>
          <w:szCs w:val="18"/>
        </w:rPr>
        <w:t>,</w:t>
      </w:r>
      <w:r w:rsidR="006C4B65" w:rsidRPr="00C57938">
        <w:rPr>
          <w:rFonts w:ascii="Arial" w:hAnsi="Arial" w:cs="Arial"/>
          <w:bCs/>
          <w:iCs/>
          <w:color w:val="000000"/>
          <w:sz w:val="18"/>
          <w:szCs w:val="18"/>
        </w:rPr>
        <w:t xml:space="preserve"> rapport building questions such as ‘</w:t>
      </w:r>
      <w:r w:rsidR="003E070F" w:rsidRPr="00C57938">
        <w:rPr>
          <w:rFonts w:ascii="Arial" w:hAnsi="Arial" w:cs="Arial"/>
          <w:bCs/>
          <w:iCs/>
          <w:color w:val="000000"/>
          <w:sz w:val="18"/>
          <w:szCs w:val="18"/>
        </w:rPr>
        <w:t>Is this consistent with observations you have made</w:t>
      </w:r>
      <w:r w:rsidR="006C4B65" w:rsidRPr="00C57938">
        <w:rPr>
          <w:rFonts w:ascii="Arial" w:hAnsi="Arial" w:cs="Arial"/>
          <w:bCs/>
          <w:iCs/>
          <w:color w:val="000000"/>
          <w:sz w:val="18"/>
          <w:szCs w:val="18"/>
        </w:rPr>
        <w:t xml:space="preserve"> in your service?’, ‘What does it mean for the way you plan for children?’ </w:t>
      </w:r>
      <w:r w:rsidR="00645A4C" w:rsidRPr="00C57938">
        <w:rPr>
          <w:rFonts w:ascii="Arial" w:hAnsi="Arial" w:cs="Arial"/>
          <w:bCs/>
          <w:iCs/>
          <w:color w:val="000000"/>
          <w:sz w:val="18"/>
          <w:szCs w:val="18"/>
        </w:rPr>
        <w:t>are encouraged</w:t>
      </w:r>
      <w:r w:rsidR="006C4B65" w:rsidRPr="00C57938">
        <w:rPr>
          <w:rFonts w:ascii="Arial" w:hAnsi="Arial" w:cs="Arial"/>
          <w:bCs/>
          <w:iCs/>
          <w:color w:val="000000"/>
          <w:sz w:val="18"/>
          <w:szCs w:val="18"/>
        </w:rPr>
        <w:t>.</w:t>
      </w:r>
    </w:p>
    <w:p w:rsidR="00761F66" w:rsidRPr="00C57938" w:rsidRDefault="006C4B65"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We strongly promote taking a non-judgemental</w:t>
      </w:r>
      <w:r w:rsidR="00645A4C" w:rsidRPr="00C57938">
        <w:rPr>
          <w:rFonts w:ascii="Arial" w:hAnsi="Arial" w:cs="Arial"/>
          <w:bCs/>
          <w:iCs/>
          <w:color w:val="000000"/>
          <w:sz w:val="18"/>
          <w:szCs w:val="18"/>
        </w:rPr>
        <w:t xml:space="preserve"> approach, </w:t>
      </w:r>
      <w:r w:rsidR="003E070F" w:rsidRPr="00C57938">
        <w:rPr>
          <w:rFonts w:ascii="Arial" w:hAnsi="Arial" w:cs="Arial"/>
          <w:bCs/>
          <w:iCs/>
          <w:color w:val="000000"/>
          <w:sz w:val="18"/>
          <w:szCs w:val="18"/>
        </w:rPr>
        <w:t xml:space="preserve">eliminating any </w:t>
      </w:r>
      <w:r w:rsidRPr="00C57938">
        <w:rPr>
          <w:rFonts w:ascii="Arial" w:hAnsi="Arial" w:cs="Arial"/>
          <w:bCs/>
          <w:iCs/>
          <w:color w:val="000000"/>
          <w:sz w:val="18"/>
          <w:szCs w:val="18"/>
        </w:rPr>
        <w:t xml:space="preserve">pre-conceived agenda based on what a school may believe will be </w:t>
      </w:r>
      <w:r w:rsidR="00D366F3" w:rsidRPr="00C57938">
        <w:rPr>
          <w:rFonts w:ascii="Arial" w:hAnsi="Arial" w:cs="Arial"/>
          <w:bCs/>
          <w:iCs/>
          <w:color w:val="000000"/>
          <w:sz w:val="18"/>
          <w:szCs w:val="18"/>
        </w:rPr>
        <w:t xml:space="preserve">in </w:t>
      </w:r>
      <w:r w:rsidRPr="00C57938">
        <w:rPr>
          <w:rFonts w:ascii="Arial" w:hAnsi="Arial" w:cs="Arial"/>
          <w:bCs/>
          <w:iCs/>
          <w:color w:val="000000"/>
          <w:sz w:val="18"/>
          <w:szCs w:val="18"/>
        </w:rPr>
        <w:t xml:space="preserve">their best interest. </w:t>
      </w:r>
      <w:r w:rsidR="003E070F" w:rsidRPr="00C57938">
        <w:rPr>
          <w:rFonts w:ascii="Arial" w:hAnsi="Arial" w:cs="Arial"/>
          <w:bCs/>
          <w:iCs/>
          <w:color w:val="000000"/>
          <w:sz w:val="18"/>
          <w:szCs w:val="18"/>
        </w:rPr>
        <w:t xml:space="preserve">Removing these barriers </w:t>
      </w:r>
      <w:r w:rsidR="00B841D7" w:rsidRPr="00C57938">
        <w:rPr>
          <w:rFonts w:ascii="Arial" w:hAnsi="Arial" w:cs="Arial"/>
          <w:bCs/>
          <w:iCs/>
          <w:color w:val="000000"/>
          <w:sz w:val="18"/>
          <w:szCs w:val="18"/>
        </w:rPr>
        <w:t>demonstrates respect</w:t>
      </w:r>
      <w:r w:rsidR="003E070F" w:rsidRPr="00C57938">
        <w:rPr>
          <w:rFonts w:ascii="Arial" w:hAnsi="Arial" w:cs="Arial"/>
          <w:bCs/>
          <w:iCs/>
          <w:color w:val="000000"/>
          <w:sz w:val="18"/>
          <w:szCs w:val="18"/>
        </w:rPr>
        <w:t xml:space="preserve"> for </w:t>
      </w:r>
      <w:r w:rsidRPr="00C57938">
        <w:rPr>
          <w:rFonts w:ascii="Arial" w:hAnsi="Arial" w:cs="Arial"/>
          <w:bCs/>
          <w:iCs/>
          <w:color w:val="000000"/>
          <w:sz w:val="18"/>
          <w:szCs w:val="18"/>
        </w:rPr>
        <w:t xml:space="preserve">the views, expertise </w:t>
      </w:r>
      <w:r w:rsidR="003E070F" w:rsidRPr="00C57938">
        <w:rPr>
          <w:rFonts w:ascii="Arial" w:hAnsi="Arial" w:cs="Arial"/>
          <w:bCs/>
          <w:iCs/>
          <w:color w:val="000000"/>
          <w:sz w:val="18"/>
          <w:szCs w:val="18"/>
        </w:rPr>
        <w:t xml:space="preserve">and </w:t>
      </w:r>
      <w:r w:rsidRPr="00C57938">
        <w:rPr>
          <w:rFonts w:ascii="Arial" w:hAnsi="Arial" w:cs="Arial"/>
          <w:bCs/>
          <w:iCs/>
          <w:color w:val="000000"/>
          <w:sz w:val="18"/>
          <w:szCs w:val="18"/>
        </w:rPr>
        <w:t xml:space="preserve">knowledge of the educators in the early childhood service. </w:t>
      </w:r>
      <w:r w:rsidR="00761F66" w:rsidRPr="00C57938">
        <w:rPr>
          <w:rFonts w:ascii="Arial" w:hAnsi="Arial" w:cs="Arial"/>
          <w:bCs/>
          <w:iCs/>
          <w:color w:val="000000"/>
          <w:sz w:val="18"/>
          <w:szCs w:val="18"/>
        </w:rPr>
        <w:t>Our advice to our school leaders is</w:t>
      </w:r>
      <w:r w:rsidR="00B841D7" w:rsidRPr="00C57938">
        <w:rPr>
          <w:rFonts w:ascii="Arial" w:hAnsi="Arial" w:cs="Arial"/>
          <w:bCs/>
          <w:iCs/>
          <w:color w:val="000000"/>
          <w:sz w:val="18"/>
          <w:szCs w:val="18"/>
        </w:rPr>
        <w:t xml:space="preserve">, </w:t>
      </w:r>
      <w:r w:rsidR="00761F66" w:rsidRPr="00C57938">
        <w:rPr>
          <w:rFonts w:ascii="Arial" w:hAnsi="Arial" w:cs="Arial"/>
          <w:bCs/>
          <w:iCs/>
          <w:color w:val="000000"/>
          <w:sz w:val="18"/>
          <w:szCs w:val="18"/>
        </w:rPr>
        <w:t>start with knowing each other as people</w:t>
      </w:r>
      <w:r w:rsidR="00B841D7" w:rsidRPr="00C57938">
        <w:rPr>
          <w:rFonts w:ascii="Arial" w:hAnsi="Arial" w:cs="Arial"/>
          <w:bCs/>
          <w:iCs/>
          <w:color w:val="000000"/>
          <w:sz w:val="18"/>
          <w:szCs w:val="18"/>
        </w:rPr>
        <w:t>,</w:t>
      </w:r>
      <w:r w:rsidR="00761F66" w:rsidRPr="00C57938">
        <w:rPr>
          <w:rFonts w:ascii="Arial" w:hAnsi="Arial" w:cs="Arial"/>
          <w:bCs/>
          <w:iCs/>
          <w:color w:val="000000"/>
          <w:sz w:val="18"/>
          <w:szCs w:val="18"/>
        </w:rPr>
        <w:t xml:space="preserve"> then as educators </w:t>
      </w:r>
      <w:r w:rsidR="00B841D7" w:rsidRPr="00C57938">
        <w:rPr>
          <w:rFonts w:ascii="Arial" w:hAnsi="Arial" w:cs="Arial"/>
          <w:bCs/>
          <w:iCs/>
          <w:color w:val="000000"/>
          <w:sz w:val="18"/>
          <w:szCs w:val="18"/>
        </w:rPr>
        <w:t xml:space="preserve">and </w:t>
      </w:r>
      <w:r w:rsidR="00761F66" w:rsidRPr="00C57938">
        <w:rPr>
          <w:rFonts w:ascii="Arial" w:hAnsi="Arial" w:cs="Arial"/>
          <w:bCs/>
          <w:iCs/>
          <w:color w:val="000000"/>
          <w:sz w:val="18"/>
          <w:szCs w:val="18"/>
        </w:rPr>
        <w:t>then as partners</w:t>
      </w:r>
      <w:r w:rsidR="003E070F" w:rsidRPr="00C57938">
        <w:rPr>
          <w:rFonts w:ascii="Arial" w:hAnsi="Arial" w:cs="Arial"/>
          <w:bCs/>
          <w:iCs/>
          <w:color w:val="000000"/>
          <w:sz w:val="18"/>
          <w:szCs w:val="18"/>
        </w:rPr>
        <w:t xml:space="preserve"> in transitions</w:t>
      </w:r>
      <w:r w:rsidR="00761F66" w:rsidRPr="00C57938">
        <w:rPr>
          <w:rFonts w:ascii="Arial" w:hAnsi="Arial" w:cs="Arial"/>
          <w:bCs/>
          <w:iCs/>
          <w:color w:val="000000"/>
          <w:sz w:val="18"/>
          <w:szCs w:val="18"/>
        </w:rPr>
        <w:t>.</w:t>
      </w:r>
    </w:p>
    <w:p w:rsidR="00BF0354" w:rsidRPr="00236B8E" w:rsidRDefault="00761F66" w:rsidP="00C57938">
      <w:pPr>
        <w:pStyle w:val="Heading3"/>
      </w:pPr>
      <w:r w:rsidRPr="00236B8E">
        <w:t>Plans in action</w:t>
      </w:r>
      <w:r w:rsidR="006C4B65" w:rsidRPr="00236B8E">
        <w:t xml:space="preserve"> </w:t>
      </w:r>
      <w:r w:rsidR="00626A4F" w:rsidRPr="00236B8E">
        <w:t xml:space="preserve"> </w:t>
      </w:r>
    </w:p>
    <w:p w:rsidR="00F80C02" w:rsidRPr="00C57938" w:rsidRDefault="00F80C02"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Our regional </w:t>
      </w:r>
      <w:r w:rsidR="00233825" w:rsidRPr="00C57938">
        <w:rPr>
          <w:rFonts w:ascii="Arial" w:hAnsi="Arial" w:cs="Arial"/>
          <w:bCs/>
          <w:iCs/>
          <w:color w:val="000000"/>
          <w:sz w:val="18"/>
          <w:szCs w:val="18"/>
        </w:rPr>
        <w:t>t</w:t>
      </w:r>
      <w:r w:rsidRPr="00C57938">
        <w:rPr>
          <w:rFonts w:ascii="Arial" w:hAnsi="Arial" w:cs="Arial"/>
          <w:bCs/>
          <w:iCs/>
          <w:color w:val="000000"/>
          <w:sz w:val="18"/>
          <w:szCs w:val="18"/>
        </w:rPr>
        <w:t xml:space="preserve">ransition and </w:t>
      </w:r>
      <w:r w:rsidR="00233825" w:rsidRPr="00C57938">
        <w:rPr>
          <w:rFonts w:ascii="Arial" w:hAnsi="Arial" w:cs="Arial"/>
          <w:bCs/>
          <w:iCs/>
          <w:color w:val="000000"/>
          <w:sz w:val="18"/>
          <w:szCs w:val="18"/>
        </w:rPr>
        <w:t>p</w:t>
      </w:r>
      <w:r w:rsidRPr="00C57938">
        <w:rPr>
          <w:rFonts w:ascii="Arial" w:hAnsi="Arial" w:cs="Arial"/>
          <w:bCs/>
          <w:iCs/>
          <w:color w:val="000000"/>
          <w:sz w:val="18"/>
          <w:szCs w:val="18"/>
        </w:rPr>
        <w:t xml:space="preserve">artnerships and </w:t>
      </w:r>
      <w:r w:rsidR="00233825" w:rsidRPr="00C57938">
        <w:rPr>
          <w:rFonts w:ascii="Arial" w:hAnsi="Arial" w:cs="Arial"/>
          <w:bCs/>
          <w:iCs/>
          <w:color w:val="000000"/>
          <w:sz w:val="18"/>
          <w:szCs w:val="18"/>
        </w:rPr>
        <w:t>i</w:t>
      </w:r>
      <w:r w:rsidRPr="00C57938">
        <w:rPr>
          <w:rFonts w:ascii="Arial" w:hAnsi="Arial" w:cs="Arial"/>
          <w:bCs/>
          <w:iCs/>
          <w:color w:val="000000"/>
          <w:sz w:val="18"/>
          <w:szCs w:val="18"/>
        </w:rPr>
        <w:t xml:space="preserve">nnovation </w:t>
      </w:r>
      <w:r w:rsidR="00233825" w:rsidRPr="00C57938">
        <w:rPr>
          <w:rFonts w:ascii="Arial" w:hAnsi="Arial" w:cs="Arial"/>
          <w:bCs/>
          <w:iCs/>
          <w:color w:val="000000"/>
          <w:sz w:val="18"/>
          <w:szCs w:val="18"/>
        </w:rPr>
        <w:t>o</w:t>
      </w:r>
      <w:r w:rsidRPr="00C57938">
        <w:rPr>
          <w:rFonts w:ascii="Arial" w:hAnsi="Arial" w:cs="Arial"/>
          <w:bCs/>
          <w:iCs/>
          <w:color w:val="000000"/>
          <w:sz w:val="18"/>
          <w:szCs w:val="18"/>
        </w:rPr>
        <w:t xml:space="preserve">fficers are working with individual schools, school clusters and local networks to consider the importance of genuine relationships </w:t>
      </w:r>
      <w:r w:rsidR="00785799" w:rsidRPr="00C57938">
        <w:rPr>
          <w:rFonts w:ascii="Arial" w:hAnsi="Arial" w:cs="Arial"/>
          <w:bCs/>
          <w:iCs/>
          <w:color w:val="000000"/>
          <w:sz w:val="18"/>
          <w:szCs w:val="18"/>
        </w:rPr>
        <w:t xml:space="preserve">in implementing successful </w:t>
      </w:r>
      <w:r w:rsidRPr="00C57938">
        <w:rPr>
          <w:rFonts w:ascii="Arial" w:hAnsi="Arial" w:cs="Arial"/>
          <w:bCs/>
          <w:iCs/>
          <w:color w:val="000000"/>
          <w:sz w:val="18"/>
          <w:szCs w:val="18"/>
        </w:rPr>
        <w:t xml:space="preserve">transition strategies. </w:t>
      </w:r>
    </w:p>
    <w:p w:rsidR="00761F66" w:rsidRPr="00C57938" w:rsidRDefault="00AF7EB6"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In a region experiencing significant </w:t>
      </w:r>
      <w:r w:rsidR="00F51ABE" w:rsidRPr="00C57938">
        <w:rPr>
          <w:rFonts w:ascii="Arial" w:hAnsi="Arial" w:cs="Arial"/>
          <w:bCs/>
          <w:iCs/>
          <w:color w:val="000000"/>
          <w:sz w:val="18"/>
          <w:szCs w:val="18"/>
        </w:rPr>
        <w:t xml:space="preserve">and rapid </w:t>
      </w:r>
      <w:r w:rsidRPr="00C57938">
        <w:rPr>
          <w:rFonts w:ascii="Arial" w:hAnsi="Arial" w:cs="Arial"/>
          <w:bCs/>
          <w:iCs/>
          <w:color w:val="000000"/>
          <w:sz w:val="18"/>
          <w:szCs w:val="18"/>
        </w:rPr>
        <w:t xml:space="preserve">growth, we have noticed the benefit of prioritising </w:t>
      </w:r>
      <w:r w:rsidR="00F51ABE" w:rsidRPr="00C57938">
        <w:rPr>
          <w:rFonts w:ascii="Arial" w:hAnsi="Arial" w:cs="Arial"/>
          <w:bCs/>
          <w:iCs/>
          <w:color w:val="000000"/>
          <w:sz w:val="18"/>
          <w:szCs w:val="18"/>
        </w:rPr>
        <w:t xml:space="preserve">and investing in </w:t>
      </w:r>
      <w:r w:rsidRPr="00C57938">
        <w:rPr>
          <w:rFonts w:ascii="Arial" w:hAnsi="Arial" w:cs="Arial"/>
          <w:bCs/>
          <w:iCs/>
          <w:color w:val="000000"/>
          <w:sz w:val="18"/>
          <w:szCs w:val="18"/>
        </w:rPr>
        <w:t xml:space="preserve">the development of relationships. </w:t>
      </w:r>
      <w:r w:rsidR="00761F66" w:rsidRPr="00C57938">
        <w:rPr>
          <w:rFonts w:ascii="Arial" w:hAnsi="Arial" w:cs="Arial"/>
          <w:bCs/>
          <w:iCs/>
          <w:color w:val="000000"/>
          <w:sz w:val="18"/>
          <w:szCs w:val="18"/>
        </w:rPr>
        <w:t xml:space="preserve"> We see school communities </w:t>
      </w:r>
      <w:r w:rsidR="00785799" w:rsidRPr="00C57938">
        <w:rPr>
          <w:rFonts w:ascii="Arial" w:hAnsi="Arial" w:cs="Arial"/>
          <w:bCs/>
          <w:iCs/>
          <w:color w:val="000000"/>
          <w:sz w:val="18"/>
          <w:szCs w:val="18"/>
        </w:rPr>
        <w:t xml:space="preserve">with a strong </w:t>
      </w:r>
      <w:r w:rsidRPr="00C57938">
        <w:rPr>
          <w:rFonts w:ascii="Arial" w:hAnsi="Arial" w:cs="Arial"/>
          <w:bCs/>
          <w:iCs/>
          <w:color w:val="000000"/>
          <w:sz w:val="18"/>
          <w:szCs w:val="18"/>
        </w:rPr>
        <w:t xml:space="preserve">sense of belonging and community </w:t>
      </w:r>
      <w:r w:rsidR="00F51ABE" w:rsidRPr="00C57938">
        <w:rPr>
          <w:rFonts w:ascii="Arial" w:hAnsi="Arial" w:cs="Arial"/>
          <w:bCs/>
          <w:iCs/>
          <w:color w:val="000000"/>
          <w:sz w:val="18"/>
          <w:szCs w:val="18"/>
        </w:rPr>
        <w:t xml:space="preserve">connectedness </w:t>
      </w:r>
      <w:r w:rsidRPr="00C57938">
        <w:rPr>
          <w:rFonts w:ascii="Arial" w:hAnsi="Arial" w:cs="Arial"/>
          <w:bCs/>
          <w:iCs/>
          <w:color w:val="000000"/>
          <w:sz w:val="18"/>
          <w:szCs w:val="18"/>
        </w:rPr>
        <w:t>form where families are not only welcom</w:t>
      </w:r>
      <w:r w:rsidR="00785799" w:rsidRPr="00C57938">
        <w:rPr>
          <w:rFonts w:ascii="Arial" w:hAnsi="Arial" w:cs="Arial"/>
          <w:bCs/>
          <w:iCs/>
          <w:color w:val="000000"/>
          <w:sz w:val="18"/>
          <w:szCs w:val="18"/>
        </w:rPr>
        <w:t>e</w:t>
      </w:r>
      <w:r w:rsidRPr="00C57938">
        <w:rPr>
          <w:rFonts w:ascii="Arial" w:hAnsi="Arial" w:cs="Arial"/>
          <w:bCs/>
          <w:iCs/>
          <w:color w:val="000000"/>
          <w:sz w:val="18"/>
          <w:szCs w:val="18"/>
        </w:rPr>
        <w:t xml:space="preserve"> but have their </w:t>
      </w:r>
      <w:r w:rsidR="00785799" w:rsidRPr="00C57938">
        <w:rPr>
          <w:rFonts w:ascii="Arial" w:hAnsi="Arial" w:cs="Arial"/>
          <w:bCs/>
          <w:iCs/>
          <w:color w:val="000000"/>
          <w:sz w:val="18"/>
          <w:szCs w:val="18"/>
        </w:rPr>
        <w:t xml:space="preserve">views </w:t>
      </w:r>
      <w:r w:rsidRPr="00C57938">
        <w:rPr>
          <w:rFonts w:ascii="Arial" w:hAnsi="Arial" w:cs="Arial"/>
          <w:bCs/>
          <w:iCs/>
          <w:color w:val="000000"/>
          <w:sz w:val="18"/>
          <w:szCs w:val="18"/>
        </w:rPr>
        <w:t xml:space="preserve">canvassed and included in </w:t>
      </w:r>
      <w:r w:rsidR="00785799" w:rsidRPr="00C57938">
        <w:rPr>
          <w:rFonts w:ascii="Arial" w:hAnsi="Arial" w:cs="Arial"/>
          <w:bCs/>
          <w:iCs/>
          <w:color w:val="000000"/>
          <w:sz w:val="18"/>
          <w:szCs w:val="18"/>
        </w:rPr>
        <w:t xml:space="preserve">the school’s </w:t>
      </w:r>
      <w:r w:rsidRPr="00C57938">
        <w:rPr>
          <w:rFonts w:ascii="Arial" w:hAnsi="Arial" w:cs="Arial"/>
          <w:bCs/>
          <w:iCs/>
          <w:color w:val="000000"/>
          <w:sz w:val="18"/>
          <w:szCs w:val="18"/>
        </w:rPr>
        <w:t>decision-making.</w:t>
      </w:r>
      <w:r w:rsidR="00F51ABE" w:rsidRPr="00C57938">
        <w:rPr>
          <w:rFonts w:ascii="Arial" w:hAnsi="Arial" w:cs="Arial"/>
          <w:bCs/>
          <w:iCs/>
          <w:color w:val="000000"/>
          <w:sz w:val="18"/>
          <w:szCs w:val="18"/>
        </w:rPr>
        <w:t xml:space="preserve"> </w:t>
      </w:r>
      <w:r w:rsidR="003C3C1B" w:rsidRPr="00C57938">
        <w:rPr>
          <w:rFonts w:ascii="Arial" w:hAnsi="Arial" w:cs="Arial"/>
          <w:bCs/>
          <w:iCs/>
          <w:color w:val="000000"/>
          <w:sz w:val="18"/>
          <w:szCs w:val="18"/>
        </w:rPr>
        <w:t xml:space="preserve">School communities are making informed decisions about the most effective strategies for engaging with their partners (the </w:t>
      </w:r>
      <w:r w:rsidR="003C3C1B" w:rsidRPr="00C57938">
        <w:rPr>
          <w:rFonts w:ascii="Arial" w:hAnsi="Arial" w:cs="Arial"/>
          <w:b/>
          <w:bCs/>
          <w:i/>
          <w:iCs/>
          <w:color w:val="000000"/>
          <w:sz w:val="18"/>
          <w:szCs w:val="18"/>
        </w:rPr>
        <w:t>how</w:t>
      </w:r>
      <w:r w:rsidR="003C3C1B" w:rsidRPr="00C57938">
        <w:rPr>
          <w:rFonts w:ascii="Arial" w:hAnsi="Arial" w:cs="Arial"/>
          <w:bCs/>
          <w:iCs/>
          <w:color w:val="000000"/>
          <w:sz w:val="18"/>
          <w:szCs w:val="18"/>
        </w:rPr>
        <w:t xml:space="preserve">) and taking account of key points in time when engagement is more relevant (the </w:t>
      </w:r>
      <w:r w:rsidR="003C3C1B" w:rsidRPr="00C57938">
        <w:rPr>
          <w:rFonts w:ascii="Arial" w:hAnsi="Arial" w:cs="Arial"/>
          <w:b/>
          <w:bCs/>
          <w:i/>
          <w:iCs/>
          <w:color w:val="000000"/>
          <w:sz w:val="18"/>
          <w:szCs w:val="18"/>
        </w:rPr>
        <w:t>when</w:t>
      </w:r>
      <w:r w:rsidR="003C3C1B" w:rsidRPr="00C57938">
        <w:rPr>
          <w:rFonts w:ascii="Arial" w:hAnsi="Arial" w:cs="Arial"/>
          <w:bCs/>
          <w:iCs/>
          <w:color w:val="000000"/>
          <w:sz w:val="18"/>
          <w:szCs w:val="18"/>
        </w:rPr>
        <w:t xml:space="preserve">). </w:t>
      </w:r>
    </w:p>
    <w:p w:rsidR="00761F66" w:rsidRPr="00C57938" w:rsidRDefault="00761F66"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We have seen small communities connect by extending an invitation to the local kindergarten </w:t>
      </w:r>
      <w:r w:rsidR="00F80C02" w:rsidRPr="00C57938">
        <w:rPr>
          <w:rFonts w:ascii="Arial" w:hAnsi="Arial" w:cs="Arial"/>
          <w:bCs/>
          <w:iCs/>
          <w:color w:val="000000"/>
          <w:sz w:val="18"/>
          <w:szCs w:val="18"/>
        </w:rPr>
        <w:t xml:space="preserve">service </w:t>
      </w:r>
      <w:r w:rsidRPr="00C57938">
        <w:rPr>
          <w:rFonts w:ascii="Arial" w:hAnsi="Arial" w:cs="Arial"/>
          <w:bCs/>
          <w:iCs/>
          <w:color w:val="000000"/>
          <w:sz w:val="18"/>
          <w:szCs w:val="18"/>
        </w:rPr>
        <w:t xml:space="preserve">to join school professional development activities, school social events and to share their practice with </w:t>
      </w:r>
      <w:r w:rsidR="00864D3F" w:rsidRPr="00C57938">
        <w:rPr>
          <w:rFonts w:ascii="Arial" w:hAnsi="Arial" w:cs="Arial"/>
          <w:bCs/>
          <w:iCs/>
          <w:color w:val="000000"/>
          <w:sz w:val="18"/>
          <w:szCs w:val="18"/>
        </w:rPr>
        <w:t>ECEC</w:t>
      </w:r>
      <w:r w:rsidRPr="00C57938">
        <w:rPr>
          <w:rFonts w:ascii="Arial" w:hAnsi="Arial" w:cs="Arial"/>
          <w:bCs/>
          <w:iCs/>
          <w:color w:val="000000"/>
          <w:sz w:val="18"/>
          <w:szCs w:val="18"/>
        </w:rPr>
        <w:t xml:space="preserve"> </w:t>
      </w:r>
      <w:r w:rsidR="00F80C02" w:rsidRPr="00C57938">
        <w:rPr>
          <w:rFonts w:ascii="Arial" w:hAnsi="Arial" w:cs="Arial"/>
          <w:bCs/>
          <w:iCs/>
          <w:color w:val="000000"/>
          <w:sz w:val="18"/>
          <w:szCs w:val="18"/>
        </w:rPr>
        <w:t>educators</w:t>
      </w:r>
      <w:r w:rsidRPr="00C57938">
        <w:rPr>
          <w:rFonts w:ascii="Arial" w:hAnsi="Arial" w:cs="Arial"/>
          <w:bCs/>
          <w:iCs/>
          <w:color w:val="000000"/>
          <w:sz w:val="18"/>
          <w:szCs w:val="18"/>
        </w:rPr>
        <w:t xml:space="preserve">. We have seen community action as a result of analysis of AEDC data with devolved leadership models based on interests and existing partnerships. </w:t>
      </w:r>
      <w:r w:rsidR="00D366F3" w:rsidRPr="00C57938">
        <w:rPr>
          <w:rFonts w:ascii="Arial" w:hAnsi="Arial" w:cs="Arial"/>
          <w:bCs/>
          <w:iCs/>
          <w:color w:val="000000"/>
          <w:sz w:val="18"/>
          <w:szCs w:val="18"/>
        </w:rPr>
        <w:t xml:space="preserve">For those schools without a local </w:t>
      </w:r>
      <w:r w:rsidR="00864D3F" w:rsidRPr="00C57938">
        <w:rPr>
          <w:rFonts w:ascii="Arial" w:hAnsi="Arial" w:cs="Arial"/>
          <w:bCs/>
          <w:iCs/>
          <w:color w:val="000000"/>
          <w:sz w:val="18"/>
          <w:szCs w:val="18"/>
        </w:rPr>
        <w:t>ECEC</w:t>
      </w:r>
      <w:r w:rsidR="00D366F3" w:rsidRPr="00C57938">
        <w:rPr>
          <w:rFonts w:ascii="Arial" w:hAnsi="Arial" w:cs="Arial"/>
          <w:bCs/>
          <w:iCs/>
          <w:color w:val="000000"/>
          <w:sz w:val="18"/>
          <w:szCs w:val="18"/>
        </w:rPr>
        <w:t xml:space="preserve"> service we have seen the establishment of school-based playgroups which support families to engage in early education experiences. </w:t>
      </w:r>
    </w:p>
    <w:p w:rsidR="00542BC5" w:rsidRPr="00C57938" w:rsidRDefault="00761F66"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What I am most encouraged by is the </w:t>
      </w:r>
      <w:r w:rsidR="00FC3DB8" w:rsidRPr="00C57938">
        <w:rPr>
          <w:rFonts w:ascii="Arial" w:hAnsi="Arial" w:cs="Arial"/>
          <w:bCs/>
          <w:iCs/>
          <w:color w:val="000000"/>
          <w:sz w:val="18"/>
          <w:szCs w:val="18"/>
        </w:rPr>
        <w:t xml:space="preserve">increasing number of conversations I have with school leaders in which they speak animatedly about their transition programs and the relationships they are developing and sustaining with </w:t>
      </w:r>
      <w:r w:rsidR="00D366F3" w:rsidRPr="00C57938">
        <w:rPr>
          <w:rFonts w:ascii="Arial" w:hAnsi="Arial" w:cs="Arial"/>
          <w:bCs/>
          <w:iCs/>
          <w:color w:val="000000"/>
          <w:sz w:val="18"/>
          <w:szCs w:val="18"/>
        </w:rPr>
        <w:t xml:space="preserve">families, </w:t>
      </w:r>
      <w:r w:rsidR="00FC3DB8" w:rsidRPr="00C57938">
        <w:rPr>
          <w:rFonts w:ascii="Arial" w:hAnsi="Arial" w:cs="Arial"/>
          <w:bCs/>
          <w:iCs/>
          <w:color w:val="000000"/>
          <w:sz w:val="18"/>
          <w:szCs w:val="18"/>
        </w:rPr>
        <w:t xml:space="preserve">local </w:t>
      </w:r>
      <w:r w:rsidR="00864D3F" w:rsidRPr="00C57938">
        <w:rPr>
          <w:rFonts w:ascii="Arial" w:hAnsi="Arial" w:cs="Arial"/>
          <w:bCs/>
          <w:iCs/>
          <w:color w:val="000000"/>
          <w:sz w:val="18"/>
          <w:szCs w:val="18"/>
        </w:rPr>
        <w:t>ECEC</w:t>
      </w:r>
      <w:r w:rsidR="00FC3DB8" w:rsidRPr="00C57938">
        <w:rPr>
          <w:rFonts w:ascii="Arial" w:hAnsi="Arial" w:cs="Arial"/>
          <w:bCs/>
          <w:iCs/>
          <w:color w:val="000000"/>
          <w:sz w:val="18"/>
          <w:szCs w:val="18"/>
        </w:rPr>
        <w:t xml:space="preserve"> services and support agencies. This tells me that the benefits of this level of engagement have a</w:t>
      </w:r>
      <w:r w:rsidR="00785799" w:rsidRPr="00C57938">
        <w:rPr>
          <w:rFonts w:ascii="Arial" w:hAnsi="Arial" w:cs="Arial"/>
          <w:bCs/>
          <w:iCs/>
          <w:color w:val="000000"/>
          <w:sz w:val="18"/>
          <w:szCs w:val="18"/>
        </w:rPr>
        <w:t xml:space="preserve"> significant impact</w:t>
      </w:r>
      <w:r w:rsidR="00FC3DB8" w:rsidRPr="00C57938">
        <w:rPr>
          <w:rFonts w:ascii="Arial" w:hAnsi="Arial" w:cs="Arial"/>
          <w:bCs/>
          <w:iCs/>
          <w:color w:val="000000"/>
          <w:sz w:val="18"/>
          <w:szCs w:val="18"/>
        </w:rPr>
        <w:t xml:space="preserve"> on schools, families, children and the </w:t>
      </w:r>
      <w:r w:rsidR="00F80C02" w:rsidRPr="00C57938">
        <w:rPr>
          <w:rFonts w:ascii="Arial" w:hAnsi="Arial" w:cs="Arial"/>
          <w:bCs/>
          <w:iCs/>
          <w:color w:val="000000"/>
          <w:sz w:val="18"/>
          <w:szCs w:val="18"/>
        </w:rPr>
        <w:t xml:space="preserve">wider </w:t>
      </w:r>
      <w:r w:rsidR="00FC3DB8" w:rsidRPr="00C57938">
        <w:rPr>
          <w:rFonts w:ascii="Arial" w:hAnsi="Arial" w:cs="Arial"/>
          <w:bCs/>
          <w:iCs/>
          <w:color w:val="000000"/>
          <w:sz w:val="18"/>
          <w:szCs w:val="18"/>
        </w:rPr>
        <w:t>community.</w:t>
      </w:r>
    </w:p>
    <w:p w:rsidR="004B066C" w:rsidRPr="00C57938" w:rsidRDefault="004B066C" w:rsidP="00C57938">
      <w:pPr>
        <w:pStyle w:val="Heading3"/>
        <w:tabs>
          <w:tab w:val="left" w:pos="5480"/>
        </w:tabs>
        <w:spacing w:before="0" w:after="200" w:line="276" w:lineRule="auto"/>
        <w:rPr>
          <w:bCs w:val="0"/>
          <w:iCs/>
          <w:sz w:val="26"/>
          <w:szCs w:val="26"/>
        </w:rPr>
      </w:pPr>
      <w:r w:rsidRPr="00C57938">
        <w:rPr>
          <w:bCs w:val="0"/>
          <w:iCs/>
          <w:sz w:val="26"/>
          <w:szCs w:val="26"/>
        </w:rPr>
        <w:t xml:space="preserve">More </w:t>
      </w:r>
      <w:r w:rsidR="00707C02" w:rsidRPr="00C57938">
        <w:rPr>
          <w:bCs w:val="0"/>
          <w:iCs/>
          <w:sz w:val="26"/>
          <w:szCs w:val="26"/>
        </w:rPr>
        <w:t xml:space="preserve">information </w:t>
      </w:r>
    </w:p>
    <w:p w:rsidR="00707C02" w:rsidRPr="00C57938" w:rsidRDefault="00707C02" w:rsidP="00C57938">
      <w:pPr>
        <w:spacing w:after="200" w:line="276" w:lineRule="auto"/>
        <w:rPr>
          <w:rFonts w:ascii="Arial" w:hAnsi="Arial" w:cs="Arial"/>
          <w:bCs/>
          <w:iCs/>
          <w:color w:val="000000"/>
          <w:sz w:val="18"/>
          <w:szCs w:val="18"/>
        </w:rPr>
      </w:pPr>
      <w:r w:rsidRPr="00C57938">
        <w:rPr>
          <w:rFonts w:ascii="Arial" w:hAnsi="Arial" w:cs="Arial"/>
          <w:bCs/>
          <w:iCs/>
          <w:color w:val="000000"/>
          <w:sz w:val="18"/>
          <w:szCs w:val="18"/>
        </w:rPr>
        <w:t xml:space="preserve">For contact details for your region’s Transitions and Partnerships and Innovation officers visit </w:t>
      </w:r>
      <w:hyperlink r:id="rId11" w:history="1">
        <w:r w:rsidRPr="00C57938">
          <w:rPr>
            <w:rFonts w:ascii="Arial" w:hAnsi="Arial" w:cs="Arial"/>
            <w:bCs/>
            <w:iCs/>
            <w:color w:val="000000"/>
            <w:sz w:val="18"/>
            <w:szCs w:val="18"/>
          </w:rPr>
          <w:t>https://oneportal.deta.qld.gov.au/earlychildhood/forschools/Pages/Transitiontoschoolsupportcontacts.aspx</w:t>
        </w:r>
      </w:hyperlink>
    </w:p>
    <w:p w:rsidR="00236B8E" w:rsidRPr="00FE4B9E" w:rsidRDefault="00707C02" w:rsidP="00C57938">
      <w:pPr>
        <w:spacing w:after="200" w:line="276" w:lineRule="auto"/>
      </w:pPr>
      <w:r w:rsidRPr="00C57938">
        <w:rPr>
          <w:rFonts w:ascii="Arial" w:hAnsi="Arial" w:cs="Arial"/>
          <w:bCs/>
          <w:iCs/>
          <w:color w:val="000000"/>
          <w:sz w:val="18"/>
          <w:szCs w:val="18"/>
        </w:rPr>
        <w:t>For more information and resources on supporting successful transitions visit:</w:t>
      </w:r>
      <w:r w:rsidR="004B066C" w:rsidRPr="00C57938">
        <w:rPr>
          <w:rFonts w:ascii="Arial" w:hAnsi="Arial" w:cs="Arial"/>
          <w:bCs/>
          <w:iCs/>
          <w:color w:val="000000"/>
          <w:sz w:val="18"/>
          <w:szCs w:val="18"/>
        </w:rPr>
        <w:t xml:space="preserve"> </w:t>
      </w:r>
      <w:hyperlink r:id="rId12" w:history="1">
        <w:r w:rsidR="004B066C" w:rsidRPr="00C57938">
          <w:rPr>
            <w:rFonts w:ascii="Arial" w:hAnsi="Arial" w:cs="Arial"/>
            <w:bCs/>
            <w:iCs/>
            <w:color w:val="000000"/>
            <w:sz w:val="18"/>
            <w:szCs w:val="18"/>
          </w:rPr>
          <w:t>www.qld.gov.au/transitiontoschool</w:t>
        </w:r>
      </w:hyperlink>
    </w:p>
    <w:sectPr w:rsidR="00236B8E" w:rsidRPr="00FE4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854372"/>
    <w:rsid w:val="0008295F"/>
    <w:rsid w:val="000F4BEC"/>
    <w:rsid w:val="001151A6"/>
    <w:rsid w:val="00130DCD"/>
    <w:rsid w:val="001A6BB5"/>
    <w:rsid w:val="001B2207"/>
    <w:rsid w:val="001C5156"/>
    <w:rsid w:val="0021737B"/>
    <w:rsid w:val="00233825"/>
    <w:rsid w:val="00236B8E"/>
    <w:rsid w:val="002A5880"/>
    <w:rsid w:val="002C78A1"/>
    <w:rsid w:val="003306AB"/>
    <w:rsid w:val="003C3C1B"/>
    <w:rsid w:val="003C41B0"/>
    <w:rsid w:val="003E070F"/>
    <w:rsid w:val="00407EAA"/>
    <w:rsid w:val="004628A7"/>
    <w:rsid w:val="00462FD6"/>
    <w:rsid w:val="00471A4D"/>
    <w:rsid w:val="004B066C"/>
    <w:rsid w:val="00505029"/>
    <w:rsid w:val="00542BC5"/>
    <w:rsid w:val="005C0C7B"/>
    <w:rsid w:val="005E49EC"/>
    <w:rsid w:val="00626A4F"/>
    <w:rsid w:val="00645A4C"/>
    <w:rsid w:val="006B1227"/>
    <w:rsid w:val="006C4B65"/>
    <w:rsid w:val="006E49D8"/>
    <w:rsid w:val="006F2D8E"/>
    <w:rsid w:val="00707C02"/>
    <w:rsid w:val="007521A0"/>
    <w:rsid w:val="00760FF7"/>
    <w:rsid w:val="00761F66"/>
    <w:rsid w:val="00785799"/>
    <w:rsid w:val="00814F4A"/>
    <w:rsid w:val="00846D1A"/>
    <w:rsid w:val="00854372"/>
    <w:rsid w:val="00864D3F"/>
    <w:rsid w:val="00892F64"/>
    <w:rsid w:val="009477BF"/>
    <w:rsid w:val="009831BA"/>
    <w:rsid w:val="00994AAE"/>
    <w:rsid w:val="009C2D94"/>
    <w:rsid w:val="00A049BD"/>
    <w:rsid w:val="00A11097"/>
    <w:rsid w:val="00A77F44"/>
    <w:rsid w:val="00AE72CA"/>
    <w:rsid w:val="00AF2CAE"/>
    <w:rsid w:val="00AF7EB6"/>
    <w:rsid w:val="00B841D7"/>
    <w:rsid w:val="00BF0354"/>
    <w:rsid w:val="00C236CF"/>
    <w:rsid w:val="00C57938"/>
    <w:rsid w:val="00CC13E9"/>
    <w:rsid w:val="00CE145A"/>
    <w:rsid w:val="00D366F3"/>
    <w:rsid w:val="00D86A81"/>
    <w:rsid w:val="00DA5B31"/>
    <w:rsid w:val="00DE2272"/>
    <w:rsid w:val="00E04F00"/>
    <w:rsid w:val="00E14B88"/>
    <w:rsid w:val="00EA138D"/>
    <w:rsid w:val="00EA200E"/>
    <w:rsid w:val="00EA7B4B"/>
    <w:rsid w:val="00EC2506"/>
    <w:rsid w:val="00ED3562"/>
    <w:rsid w:val="00EF01C9"/>
    <w:rsid w:val="00F44546"/>
    <w:rsid w:val="00F51ABE"/>
    <w:rsid w:val="00F80C02"/>
    <w:rsid w:val="00FC3DB8"/>
    <w:rsid w:val="00FE4B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FE4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B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BC5"/>
    <w:pPr>
      <w:autoSpaceDE w:val="0"/>
      <w:autoSpaceDN w:val="0"/>
      <w:adjustRightInd w:val="0"/>
      <w:spacing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C2D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94"/>
    <w:rPr>
      <w:rFonts w:ascii="Tahoma" w:hAnsi="Tahoma" w:cs="Tahoma"/>
      <w:sz w:val="16"/>
      <w:szCs w:val="16"/>
    </w:rPr>
  </w:style>
  <w:style w:type="character" w:styleId="CommentReference">
    <w:name w:val="annotation reference"/>
    <w:basedOn w:val="DefaultParagraphFont"/>
    <w:uiPriority w:val="99"/>
    <w:semiHidden/>
    <w:unhideWhenUsed/>
    <w:rsid w:val="00DA5B31"/>
    <w:rPr>
      <w:rFonts w:cs="Times New Roman"/>
      <w:sz w:val="16"/>
      <w:szCs w:val="16"/>
    </w:rPr>
  </w:style>
  <w:style w:type="paragraph" w:styleId="CommentText">
    <w:name w:val="annotation text"/>
    <w:basedOn w:val="Normal"/>
    <w:link w:val="CommentTextChar"/>
    <w:uiPriority w:val="99"/>
    <w:semiHidden/>
    <w:unhideWhenUsed/>
    <w:rsid w:val="00DA5B31"/>
    <w:rPr>
      <w:sz w:val="20"/>
      <w:szCs w:val="20"/>
    </w:rPr>
  </w:style>
  <w:style w:type="character" w:customStyle="1" w:styleId="CommentTextChar">
    <w:name w:val="Comment Text Char"/>
    <w:basedOn w:val="DefaultParagraphFont"/>
    <w:link w:val="CommentText"/>
    <w:uiPriority w:val="99"/>
    <w:semiHidden/>
    <w:locked/>
    <w:rsid w:val="00DA5B3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A5B31"/>
    <w:rPr>
      <w:b/>
      <w:bCs/>
    </w:rPr>
  </w:style>
  <w:style w:type="character" w:customStyle="1" w:styleId="CommentSubjectChar">
    <w:name w:val="Comment Subject Char"/>
    <w:basedOn w:val="CommentTextChar"/>
    <w:link w:val="CommentSubject"/>
    <w:uiPriority w:val="99"/>
    <w:semiHidden/>
    <w:locked/>
    <w:rsid w:val="00DA5B31"/>
    <w:rPr>
      <w:rFonts w:cs="Times New Roman"/>
      <w:b/>
      <w:bCs/>
      <w:sz w:val="20"/>
      <w:szCs w:val="20"/>
    </w:rPr>
  </w:style>
  <w:style w:type="paragraph" w:customStyle="1" w:styleId="xmsonormal">
    <w:name w:val="x_msonormal"/>
    <w:basedOn w:val="Normal"/>
    <w:rsid w:val="00471A4D"/>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D3562"/>
    <w:rPr>
      <w:rFonts w:cs="Times New Roman"/>
      <w:color w:val="0000FF" w:themeColor="hyperlink"/>
      <w:u w:val="single"/>
    </w:rPr>
  </w:style>
  <w:style w:type="paragraph" w:styleId="Revision">
    <w:name w:val="Revision"/>
    <w:hidden/>
    <w:uiPriority w:val="99"/>
    <w:semiHidden/>
    <w:rsid w:val="004628A7"/>
    <w:pPr>
      <w:spacing w:line="240" w:lineRule="auto"/>
    </w:pPr>
  </w:style>
  <w:style w:type="character" w:customStyle="1" w:styleId="Heading1Char">
    <w:name w:val="Heading 1 Char"/>
    <w:basedOn w:val="DefaultParagraphFont"/>
    <w:link w:val="Heading1"/>
    <w:uiPriority w:val="9"/>
    <w:rsid w:val="00FE4B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4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4B9E"/>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FE4B9E"/>
    <w:rPr>
      <w:i/>
      <w:iCs/>
      <w:color w:val="000000" w:themeColor="text1"/>
    </w:rPr>
  </w:style>
  <w:style w:type="character" w:customStyle="1" w:styleId="QuoteChar">
    <w:name w:val="Quote Char"/>
    <w:basedOn w:val="DefaultParagraphFont"/>
    <w:link w:val="Quote"/>
    <w:uiPriority w:val="29"/>
    <w:rsid w:val="00FE4B9E"/>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www.qld.gov.au/transitiontoschool"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s://oneportal.deta.qld.gov.au/earlychildhood/forschools/Pages/Transitiontoschoolsupportcontacts.aspx" TargetMode="External"/><Relationship Id="rId5" Type="http://schemas.openxmlformats.org/officeDocument/2006/relationships/hyperlink" Target="ttp://www.deta.qld.gov.au/earlychildhood/pdfs/transition-to-school-decision-making-tool.pdf" TargetMode="External"/><Relationship Id="rId15" Type="http://schemas.openxmlformats.org/officeDocument/2006/relationships/customXml" Target="../customXml/item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185B8-CDA0-4EC2-9F15-B7971513FF06}" type="doc">
      <dgm:prSet loTypeId="urn:microsoft.com/office/officeart/2005/8/layout/cycle1" loCatId="cycle" qsTypeId="urn:microsoft.com/office/officeart/2005/8/quickstyle/3d2" qsCatId="3D" csTypeId="urn:microsoft.com/office/officeart/2005/8/colors/accent1_2" csCatId="accent1" phldr="1"/>
      <dgm:spPr/>
      <dgm:t>
        <a:bodyPr/>
        <a:lstStyle/>
        <a:p>
          <a:endParaRPr lang="en-AU"/>
        </a:p>
      </dgm:t>
    </dgm:pt>
    <dgm:pt modelId="{F6B59221-9F86-4862-8A81-2149BAB60CC1}">
      <dgm:prSet phldrT="[Text]"/>
      <dgm:spPr>
        <a:xfrm>
          <a:off x="1208310" y="12455"/>
          <a:ext cx="410707" cy="410707"/>
        </a:xfrm>
        <a:noFill/>
        <a:ln>
          <a:noFill/>
        </a:ln>
        <a:effectLst/>
      </dgm:spPr>
      <dgm:t>
        <a:bodyPr/>
        <a:lstStyle/>
        <a:p>
          <a:pPr algn="ctr"/>
          <a:r>
            <a:rPr lang="en-AU">
              <a:solidFill>
                <a:sysClr val="windowText" lastClr="000000">
                  <a:hueOff val="0"/>
                  <a:satOff val="0"/>
                  <a:lumOff val="0"/>
                  <a:alphaOff val="0"/>
                </a:sysClr>
              </a:solidFill>
              <a:latin typeface="Calibri"/>
              <a:ea typeface="+mn-ea"/>
              <a:cs typeface="+mn-cs"/>
            </a:rPr>
            <a:t>Why</a:t>
          </a:r>
        </a:p>
      </dgm:t>
    </dgm:pt>
    <dgm:pt modelId="{0BD9BDCD-8550-4302-AAEE-71967E8503E9}" type="parTrans" cxnId="{47803EEC-09BF-46CA-8D39-A01F4A7733B9}">
      <dgm:prSet/>
      <dgm:spPr/>
      <dgm:t>
        <a:bodyPr/>
        <a:lstStyle/>
        <a:p>
          <a:pPr algn="ctr"/>
          <a:endParaRPr lang="en-AU"/>
        </a:p>
      </dgm:t>
    </dgm:pt>
    <dgm:pt modelId="{5AACE400-0439-45EF-896D-F4639149CA90}" type="sibTrans" cxnId="{47803EEC-09BF-46CA-8D39-A01F4A7733B9}">
      <dgm:prSet/>
      <dgm:spPr>
        <a:xfrm>
          <a:off x="242398" y="600"/>
          <a:ext cx="1539583" cy="153958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endParaRPr lang="en-AU"/>
        </a:p>
      </dgm:t>
    </dgm:pt>
    <dgm:pt modelId="{2C7D52A9-5B14-4715-B559-2F07F0BD6607}">
      <dgm:prSet phldrT="[Text]"/>
      <dgm:spPr>
        <a:xfrm>
          <a:off x="1456435" y="776106"/>
          <a:ext cx="410707" cy="410707"/>
        </a:xfrm>
        <a:noFill/>
        <a:ln>
          <a:noFill/>
        </a:ln>
        <a:effectLst/>
      </dgm:spPr>
      <dgm:t>
        <a:bodyPr/>
        <a:lstStyle/>
        <a:p>
          <a:pPr algn="ctr"/>
          <a:r>
            <a:rPr lang="en-AU">
              <a:solidFill>
                <a:sysClr val="windowText" lastClr="000000">
                  <a:hueOff val="0"/>
                  <a:satOff val="0"/>
                  <a:lumOff val="0"/>
                  <a:alphaOff val="0"/>
                </a:sysClr>
              </a:solidFill>
              <a:latin typeface="Calibri"/>
              <a:ea typeface="+mn-ea"/>
              <a:cs typeface="+mn-cs"/>
            </a:rPr>
            <a:t>What</a:t>
          </a:r>
        </a:p>
      </dgm:t>
    </dgm:pt>
    <dgm:pt modelId="{094688F4-B681-428A-9922-E5EE6C22CE45}" type="parTrans" cxnId="{01AA9240-1C0A-4ADC-8DE3-46281DEA3A46}">
      <dgm:prSet/>
      <dgm:spPr/>
      <dgm:t>
        <a:bodyPr/>
        <a:lstStyle/>
        <a:p>
          <a:pPr algn="ctr"/>
          <a:endParaRPr lang="en-AU"/>
        </a:p>
      </dgm:t>
    </dgm:pt>
    <dgm:pt modelId="{176AC29A-B60F-4BA4-BF0A-9EB45BE8CB89}" type="sibTrans" cxnId="{01AA9240-1C0A-4ADC-8DE3-46281DEA3A46}">
      <dgm:prSet/>
      <dgm:spPr>
        <a:xfrm>
          <a:off x="242398" y="600"/>
          <a:ext cx="1539583" cy="153958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endParaRPr lang="en-AU"/>
        </a:p>
      </dgm:t>
    </dgm:pt>
    <dgm:pt modelId="{3E5701F4-F559-4A8E-AA8F-FDFC528B7C85}">
      <dgm:prSet phldrT="[Text]"/>
      <dgm:spPr>
        <a:xfrm>
          <a:off x="806836" y="1248067"/>
          <a:ext cx="410707" cy="410707"/>
        </a:xfrm>
        <a:noFill/>
        <a:ln>
          <a:noFill/>
        </a:ln>
        <a:effectLst/>
      </dgm:spPr>
      <dgm:t>
        <a:bodyPr/>
        <a:lstStyle/>
        <a:p>
          <a:pPr algn="ctr"/>
          <a:r>
            <a:rPr lang="en-AU">
              <a:solidFill>
                <a:sysClr val="windowText" lastClr="000000">
                  <a:hueOff val="0"/>
                  <a:satOff val="0"/>
                  <a:lumOff val="0"/>
                  <a:alphaOff val="0"/>
                </a:sysClr>
              </a:solidFill>
              <a:latin typeface="Calibri"/>
              <a:ea typeface="+mn-ea"/>
              <a:cs typeface="+mn-cs"/>
            </a:rPr>
            <a:t>How</a:t>
          </a:r>
        </a:p>
      </dgm:t>
    </dgm:pt>
    <dgm:pt modelId="{FE1CCB7A-983B-456C-A073-A4D032850656}" type="parTrans" cxnId="{FD12CE4B-AEDA-45EA-AFF4-17E4A37B075E}">
      <dgm:prSet/>
      <dgm:spPr/>
      <dgm:t>
        <a:bodyPr/>
        <a:lstStyle/>
        <a:p>
          <a:pPr algn="ctr"/>
          <a:endParaRPr lang="en-AU"/>
        </a:p>
      </dgm:t>
    </dgm:pt>
    <dgm:pt modelId="{0C9145EA-6B94-4475-9F4D-A7A563164938}" type="sibTrans" cxnId="{FD12CE4B-AEDA-45EA-AFF4-17E4A37B075E}">
      <dgm:prSet/>
      <dgm:spPr>
        <a:xfrm>
          <a:off x="242398" y="600"/>
          <a:ext cx="1539583" cy="153958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endParaRPr lang="en-AU"/>
        </a:p>
      </dgm:t>
    </dgm:pt>
    <dgm:pt modelId="{C20A25D3-ACE1-4AF0-903B-BDA569C0CBAD}">
      <dgm:prSet phldrT="[Text]"/>
      <dgm:spPr>
        <a:xfrm>
          <a:off x="157236" y="776106"/>
          <a:ext cx="410707" cy="410707"/>
        </a:xfrm>
        <a:noFill/>
        <a:ln>
          <a:noFill/>
        </a:ln>
        <a:effectLst/>
      </dgm:spPr>
      <dgm:t>
        <a:bodyPr/>
        <a:lstStyle/>
        <a:p>
          <a:pPr algn="ctr"/>
          <a:r>
            <a:rPr lang="en-AU">
              <a:solidFill>
                <a:sysClr val="windowText" lastClr="000000">
                  <a:hueOff val="0"/>
                  <a:satOff val="0"/>
                  <a:lumOff val="0"/>
                  <a:alphaOff val="0"/>
                </a:sysClr>
              </a:solidFill>
              <a:latin typeface="Calibri"/>
              <a:ea typeface="+mn-ea"/>
              <a:cs typeface="+mn-cs"/>
            </a:rPr>
            <a:t>When</a:t>
          </a:r>
        </a:p>
      </dgm:t>
    </dgm:pt>
    <dgm:pt modelId="{5A9EA860-38D2-4CC6-B689-39B30F8D5F6D}" type="parTrans" cxnId="{0E43F355-27B0-4948-90BF-104C1AA94A6A}">
      <dgm:prSet/>
      <dgm:spPr/>
      <dgm:t>
        <a:bodyPr/>
        <a:lstStyle/>
        <a:p>
          <a:pPr algn="ctr"/>
          <a:endParaRPr lang="en-AU"/>
        </a:p>
      </dgm:t>
    </dgm:pt>
    <dgm:pt modelId="{C6A5ECD3-1868-444C-BEF7-306223CF585E}" type="sibTrans" cxnId="{0E43F355-27B0-4948-90BF-104C1AA94A6A}">
      <dgm:prSet/>
      <dgm:spPr>
        <a:xfrm>
          <a:off x="242398" y="600"/>
          <a:ext cx="1539583" cy="153958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endParaRPr lang="en-AU"/>
        </a:p>
      </dgm:t>
    </dgm:pt>
    <dgm:pt modelId="{4883EDB7-056A-4A36-85ED-38E085C3C18F}">
      <dgm:prSet phldrT="[Text]"/>
      <dgm:spPr>
        <a:xfrm>
          <a:off x="405361" y="12455"/>
          <a:ext cx="410707" cy="410707"/>
        </a:xfrm>
        <a:noFill/>
        <a:ln>
          <a:noFill/>
        </a:ln>
        <a:effectLst/>
      </dgm:spPr>
      <dgm:t>
        <a:bodyPr/>
        <a:lstStyle/>
        <a:p>
          <a:pPr algn="ctr"/>
          <a:r>
            <a:rPr lang="en-AU">
              <a:solidFill>
                <a:sysClr val="windowText" lastClr="000000">
                  <a:hueOff val="0"/>
                  <a:satOff val="0"/>
                  <a:lumOff val="0"/>
                  <a:alphaOff val="0"/>
                </a:sysClr>
              </a:solidFill>
              <a:latin typeface="Calibri"/>
              <a:ea typeface="+mn-ea"/>
              <a:cs typeface="+mn-cs"/>
            </a:rPr>
            <a:t>Who</a:t>
          </a:r>
        </a:p>
      </dgm:t>
    </dgm:pt>
    <dgm:pt modelId="{C55A1E8F-5E15-4213-B20F-FEE2CCFE0766}" type="parTrans" cxnId="{994A5C81-5BBC-4182-9F94-F3CBFC450C27}">
      <dgm:prSet/>
      <dgm:spPr/>
      <dgm:t>
        <a:bodyPr/>
        <a:lstStyle/>
        <a:p>
          <a:pPr algn="ctr"/>
          <a:endParaRPr lang="en-AU"/>
        </a:p>
      </dgm:t>
    </dgm:pt>
    <dgm:pt modelId="{B2330362-7566-4A2F-84D4-A3DA285D54F0}" type="sibTrans" cxnId="{994A5C81-5BBC-4182-9F94-F3CBFC450C27}">
      <dgm:prSet/>
      <dgm:spPr>
        <a:xfrm>
          <a:off x="242398" y="600"/>
          <a:ext cx="1539583" cy="153958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endParaRPr lang="en-AU"/>
        </a:p>
      </dgm:t>
    </dgm:pt>
    <dgm:pt modelId="{91E1D808-FE6F-481C-B4F9-222C4FE00771}" type="pres">
      <dgm:prSet presAssocID="{C57185B8-CDA0-4EC2-9F15-B7971513FF06}" presName="cycle" presStyleCnt="0">
        <dgm:presLayoutVars>
          <dgm:dir/>
          <dgm:resizeHandles val="exact"/>
        </dgm:presLayoutVars>
      </dgm:prSet>
      <dgm:spPr/>
      <dgm:t>
        <a:bodyPr/>
        <a:lstStyle/>
        <a:p>
          <a:endParaRPr lang="en-AU"/>
        </a:p>
      </dgm:t>
    </dgm:pt>
    <dgm:pt modelId="{428CEE34-E22E-4AA8-A85C-2D46C0FA15DF}" type="pres">
      <dgm:prSet presAssocID="{F6B59221-9F86-4862-8A81-2149BAB60CC1}" presName="dummy" presStyleCnt="0"/>
      <dgm:spPr/>
    </dgm:pt>
    <dgm:pt modelId="{2E4C1345-BECF-4F5E-99EC-E55D417E944E}" type="pres">
      <dgm:prSet presAssocID="{F6B59221-9F86-4862-8A81-2149BAB60CC1}" presName="node" presStyleLbl="revTx" presStyleIdx="0" presStyleCnt="5" custRadScaleRad="98503" custRadScaleInc="19462">
        <dgm:presLayoutVars>
          <dgm:bulletEnabled val="1"/>
        </dgm:presLayoutVars>
      </dgm:prSet>
      <dgm:spPr>
        <a:prstGeom prst="rect">
          <a:avLst/>
        </a:prstGeom>
      </dgm:spPr>
      <dgm:t>
        <a:bodyPr/>
        <a:lstStyle/>
        <a:p>
          <a:endParaRPr lang="en-AU"/>
        </a:p>
      </dgm:t>
    </dgm:pt>
    <dgm:pt modelId="{6BE93A7E-1D8E-47B7-B2DA-570417C5BB91}" type="pres">
      <dgm:prSet presAssocID="{5AACE400-0439-45EF-896D-F4639149CA90}" presName="sibTrans" presStyleLbl="node1" presStyleIdx="0" presStyleCnt="5"/>
      <dgm:spPr>
        <a:prstGeom prst="circularArrow">
          <a:avLst>
            <a:gd name="adj1" fmla="val 5203"/>
            <a:gd name="adj2" fmla="val 336086"/>
            <a:gd name="adj3" fmla="val 21292537"/>
            <a:gd name="adj4" fmla="val 19766856"/>
            <a:gd name="adj5" fmla="val 6070"/>
          </a:avLst>
        </a:prstGeom>
      </dgm:spPr>
      <dgm:t>
        <a:bodyPr/>
        <a:lstStyle/>
        <a:p>
          <a:endParaRPr lang="en-AU"/>
        </a:p>
      </dgm:t>
    </dgm:pt>
    <dgm:pt modelId="{98ECCB82-7A04-41FA-B0DA-24023B19FA0B}" type="pres">
      <dgm:prSet presAssocID="{2C7D52A9-5B14-4715-B559-2F07F0BD6607}" presName="dummy" presStyleCnt="0"/>
      <dgm:spPr/>
    </dgm:pt>
    <dgm:pt modelId="{19FBE31C-4BDD-4967-8E38-08155EC143ED}" type="pres">
      <dgm:prSet presAssocID="{2C7D52A9-5B14-4715-B559-2F07F0BD6607}" presName="node" presStyleLbl="revTx" presStyleIdx="1" presStyleCnt="5">
        <dgm:presLayoutVars>
          <dgm:bulletEnabled val="1"/>
        </dgm:presLayoutVars>
      </dgm:prSet>
      <dgm:spPr>
        <a:prstGeom prst="rect">
          <a:avLst/>
        </a:prstGeom>
      </dgm:spPr>
      <dgm:t>
        <a:bodyPr/>
        <a:lstStyle/>
        <a:p>
          <a:endParaRPr lang="en-AU"/>
        </a:p>
      </dgm:t>
    </dgm:pt>
    <dgm:pt modelId="{E334FDC7-2BAE-48B8-A93B-1672B534F643}" type="pres">
      <dgm:prSet presAssocID="{176AC29A-B60F-4BA4-BF0A-9EB45BE8CB89}" presName="sibTrans" presStyleLbl="node1" presStyleIdx="1" presStyleCnt="5"/>
      <dgm:spPr>
        <a:prstGeom prst="circularArrow">
          <a:avLst>
            <a:gd name="adj1" fmla="val 5203"/>
            <a:gd name="adj2" fmla="val 336086"/>
            <a:gd name="adj3" fmla="val 4013968"/>
            <a:gd name="adj4" fmla="val 2254103"/>
            <a:gd name="adj5" fmla="val 6070"/>
          </a:avLst>
        </a:prstGeom>
      </dgm:spPr>
      <dgm:t>
        <a:bodyPr/>
        <a:lstStyle/>
        <a:p>
          <a:endParaRPr lang="en-AU"/>
        </a:p>
      </dgm:t>
    </dgm:pt>
    <dgm:pt modelId="{91069A67-FE46-4618-A8F2-EC3F42C9AC29}" type="pres">
      <dgm:prSet presAssocID="{3E5701F4-F559-4A8E-AA8F-FDFC528B7C85}" presName="dummy" presStyleCnt="0"/>
      <dgm:spPr/>
    </dgm:pt>
    <dgm:pt modelId="{99DC845F-9A76-44E1-9046-216137C2B6CB}" type="pres">
      <dgm:prSet presAssocID="{3E5701F4-F559-4A8E-AA8F-FDFC528B7C85}" presName="node" presStyleLbl="revTx" presStyleIdx="2" presStyleCnt="5" custRadScaleRad="100271" custRadScaleInc="11058">
        <dgm:presLayoutVars>
          <dgm:bulletEnabled val="1"/>
        </dgm:presLayoutVars>
      </dgm:prSet>
      <dgm:spPr>
        <a:prstGeom prst="rect">
          <a:avLst/>
        </a:prstGeom>
      </dgm:spPr>
      <dgm:t>
        <a:bodyPr/>
        <a:lstStyle/>
        <a:p>
          <a:endParaRPr lang="en-AU"/>
        </a:p>
      </dgm:t>
    </dgm:pt>
    <dgm:pt modelId="{247C0F17-AD99-48AF-A027-76DD4611C012}" type="pres">
      <dgm:prSet presAssocID="{0C9145EA-6B94-4475-9F4D-A7A563164938}" presName="sibTrans" presStyleLbl="node1" presStyleIdx="2" presStyleCnt="5"/>
      <dgm:spPr>
        <a:prstGeom prst="circularArrow">
          <a:avLst>
            <a:gd name="adj1" fmla="val 5203"/>
            <a:gd name="adj2" fmla="val 336086"/>
            <a:gd name="adj3" fmla="val 8209811"/>
            <a:gd name="adj4" fmla="val 6449946"/>
            <a:gd name="adj5" fmla="val 6070"/>
          </a:avLst>
        </a:prstGeom>
      </dgm:spPr>
      <dgm:t>
        <a:bodyPr/>
        <a:lstStyle/>
        <a:p>
          <a:endParaRPr lang="en-AU"/>
        </a:p>
      </dgm:t>
    </dgm:pt>
    <dgm:pt modelId="{5798E9C7-A22F-497F-95D1-495502AB25BB}" type="pres">
      <dgm:prSet presAssocID="{C20A25D3-ACE1-4AF0-903B-BDA569C0CBAD}" presName="dummy" presStyleCnt="0"/>
      <dgm:spPr/>
    </dgm:pt>
    <dgm:pt modelId="{ECCA25E0-178D-4631-B507-CCE4AACD639F}" type="pres">
      <dgm:prSet presAssocID="{C20A25D3-ACE1-4AF0-903B-BDA569C0CBAD}" presName="node" presStyleLbl="revTx" presStyleIdx="3" presStyleCnt="5" custRadScaleRad="111260" custRadScaleInc="-4384">
        <dgm:presLayoutVars>
          <dgm:bulletEnabled val="1"/>
        </dgm:presLayoutVars>
      </dgm:prSet>
      <dgm:spPr>
        <a:prstGeom prst="rect">
          <a:avLst/>
        </a:prstGeom>
      </dgm:spPr>
      <dgm:t>
        <a:bodyPr/>
        <a:lstStyle/>
        <a:p>
          <a:endParaRPr lang="en-AU"/>
        </a:p>
      </dgm:t>
    </dgm:pt>
    <dgm:pt modelId="{56247E56-E9AB-4600-8AEC-8FF4CEB2D501}" type="pres">
      <dgm:prSet presAssocID="{C6A5ECD3-1868-444C-BEF7-306223CF585E}" presName="sibTrans" presStyleLbl="node1" presStyleIdx="3" presStyleCnt="5" custLinFactNeighborX="2403" custLinFactNeighborY="-9464"/>
      <dgm:spPr>
        <a:prstGeom prst="circularArrow">
          <a:avLst>
            <a:gd name="adj1" fmla="val 5203"/>
            <a:gd name="adj2" fmla="val 336086"/>
            <a:gd name="adj3" fmla="val 12297058"/>
            <a:gd name="adj4" fmla="val 10771377"/>
            <a:gd name="adj5" fmla="val 6070"/>
          </a:avLst>
        </a:prstGeom>
      </dgm:spPr>
      <dgm:t>
        <a:bodyPr/>
        <a:lstStyle/>
        <a:p>
          <a:endParaRPr lang="en-AU"/>
        </a:p>
      </dgm:t>
    </dgm:pt>
    <dgm:pt modelId="{A885ABED-551F-4E4C-A710-AEB28721EF49}" type="pres">
      <dgm:prSet presAssocID="{4883EDB7-056A-4A36-85ED-38E085C3C18F}" presName="dummy" presStyleCnt="0"/>
      <dgm:spPr/>
    </dgm:pt>
    <dgm:pt modelId="{AFDDDF89-1A6F-48D7-BE87-0F800098DB4C}" type="pres">
      <dgm:prSet presAssocID="{4883EDB7-056A-4A36-85ED-38E085C3C18F}" presName="node" presStyleLbl="revTx" presStyleIdx="4" presStyleCnt="5" custRadScaleRad="98426" custRadScaleInc="-22109">
        <dgm:presLayoutVars>
          <dgm:bulletEnabled val="1"/>
        </dgm:presLayoutVars>
      </dgm:prSet>
      <dgm:spPr>
        <a:prstGeom prst="rect">
          <a:avLst/>
        </a:prstGeom>
      </dgm:spPr>
      <dgm:t>
        <a:bodyPr/>
        <a:lstStyle/>
        <a:p>
          <a:endParaRPr lang="en-AU"/>
        </a:p>
      </dgm:t>
    </dgm:pt>
    <dgm:pt modelId="{17867F45-2339-48FE-8315-E2556F7B9440}" type="pres">
      <dgm:prSet presAssocID="{B2330362-7566-4A2F-84D4-A3DA285D54F0}" presName="sibTrans" presStyleLbl="node1" presStyleIdx="4" presStyleCnt="5" custLinFactNeighborX="-3090" custLinFactNeighborY="2747"/>
      <dgm:spPr>
        <a:prstGeom prst="circularArrow">
          <a:avLst>
            <a:gd name="adj1" fmla="val 5203"/>
            <a:gd name="adj2" fmla="val 336086"/>
            <a:gd name="adj3" fmla="val 16864959"/>
            <a:gd name="adj4" fmla="val 15198955"/>
            <a:gd name="adj5" fmla="val 6070"/>
          </a:avLst>
        </a:prstGeom>
      </dgm:spPr>
      <dgm:t>
        <a:bodyPr/>
        <a:lstStyle/>
        <a:p>
          <a:endParaRPr lang="en-AU"/>
        </a:p>
      </dgm:t>
    </dgm:pt>
  </dgm:ptLst>
  <dgm:cxnLst>
    <dgm:cxn modelId="{FD12CE4B-AEDA-45EA-AFF4-17E4A37B075E}" srcId="{C57185B8-CDA0-4EC2-9F15-B7971513FF06}" destId="{3E5701F4-F559-4A8E-AA8F-FDFC528B7C85}" srcOrd="2" destOrd="0" parTransId="{FE1CCB7A-983B-456C-A073-A4D032850656}" sibTransId="{0C9145EA-6B94-4475-9F4D-A7A563164938}"/>
    <dgm:cxn modelId="{AFDA2753-7BC5-4FE8-BDB3-C4FBB81EDF21}" type="presOf" srcId="{C6A5ECD3-1868-444C-BEF7-306223CF585E}" destId="{56247E56-E9AB-4600-8AEC-8FF4CEB2D501}" srcOrd="0" destOrd="0" presId="urn:microsoft.com/office/officeart/2005/8/layout/cycle1"/>
    <dgm:cxn modelId="{0E43F355-27B0-4948-90BF-104C1AA94A6A}" srcId="{C57185B8-CDA0-4EC2-9F15-B7971513FF06}" destId="{C20A25D3-ACE1-4AF0-903B-BDA569C0CBAD}" srcOrd="3" destOrd="0" parTransId="{5A9EA860-38D2-4CC6-B689-39B30F8D5F6D}" sibTransId="{C6A5ECD3-1868-444C-BEF7-306223CF585E}"/>
    <dgm:cxn modelId="{02C62089-186C-42A5-9123-EF8304D6F84A}" type="presOf" srcId="{C20A25D3-ACE1-4AF0-903B-BDA569C0CBAD}" destId="{ECCA25E0-178D-4631-B507-CCE4AACD639F}" srcOrd="0" destOrd="0" presId="urn:microsoft.com/office/officeart/2005/8/layout/cycle1"/>
    <dgm:cxn modelId="{D56FA7CA-A963-4C6A-835E-DA345DA0ECDB}" type="presOf" srcId="{176AC29A-B60F-4BA4-BF0A-9EB45BE8CB89}" destId="{E334FDC7-2BAE-48B8-A93B-1672B534F643}" srcOrd="0" destOrd="0" presId="urn:microsoft.com/office/officeart/2005/8/layout/cycle1"/>
    <dgm:cxn modelId="{EBD92B4B-9B19-4C77-9B70-C1AF275EADA0}" type="presOf" srcId="{3E5701F4-F559-4A8E-AA8F-FDFC528B7C85}" destId="{99DC845F-9A76-44E1-9046-216137C2B6CB}" srcOrd="0" destOrd="0" presId="urn:microsoft.com/office/officeart/2005/8/layout/cycle1"/>
    <dgm:cxn modelId="{994A5C81-5BBC-4182-9F94-F3CBFC450C27}" srcId="{C57185B8-CDA0-4EC2-9F15-B7971513FF06}" destId="{4883EDB7-056A-4A36-85ED-38E085C3C18F}" srcOrd="4" destOrd="0" parTransId="{C55A1E8F-5E15-4213-B20F-FEE2CCFE0766}" sibTransId="{B2330362-7566-4A2F-84D4-A3DA285D54F0}"/>
    <dgm:cxn modelId="{B66C7871-4110-4D58-B020-50A650D0E614}" type="presOf" srcId="{C57185B8-CDA0-4EC2-9F15-B7971513FF06}" destId="{91E1D808-FE6F-481C-B4F9-222C4FE00771}" srcOrd="0" destOrd="0" presId="urn:microsoft.com/office/officeart/2005/8/layout/cycle1"/>
    <dgm:cxn modelId="{01AA9240-1C0A-4ADC-8DE3-46281DEA3A46}" srcId="{C57185B8-CDA0-4EC2-9F15-B7971513FF06}" destId="{2C7D52A9-5B14-4715-B559-2F07F0BD6607}" srcOrd="1" destOrd="0" parTransId="{094688F4-B681-428A-9922-E5EE6C22CE45}" sibTransId="{176AC29A-B60F-4BA4-BF0A-9EB45BE8CB89}"/>
    <dgm:cxn modelId="{19B1370C-73C8-4C55-9332-534BC10DE7BC}" type="presOf" srcId="{F6B59221-9F86-4862-8A81-2149BAB60CC1}" destId="{2E4C1345-BECF-4F5E-99EC-E55D417E944E}" srcOrd="0" destOrd="0" presId="urn:microsoft.com/office/officeart/2005/8/layout/cycle1"/>
    <dgm:cxn modelId="{A9A12473-2A85-4D12-AE71-C9179E3A8B60}" type="presOf" srcId="{4883EDB7-056A-4A36-85ED-38E085C3C18F}" destId="{AFDDDF89-1A6F-48D7-BE87-0F800098DB4C}" srcOrd="0" destOrd="0" presId="urn:microsoft.com/office/officeart/2005/8/layout/cycle1"/>
    <dgm:cxn modelId="{6336196E-754B-4A87-B286-7AC7FA5E1C6C}" type="presOf" srcId="{2C7D52A9-5B14-4715-B559-2F07F0BD6607}" destId="{19FBE31C-4BDD-4967-8E38-08155EC143ED}" srcOrd="0" destOrd="0" presId="urn:microsoft.com/office/officeart/2005/8/layout/cycle1"/>
    <dgm:cxn modelId="{B696CDC2-7253-4F39-BACE-3A8D1323021D}" type="presOf" srcId="{5AACE400-0439-45EF-896D-F4639149CA90}" destId="{6BE93A7E-1D8E-47B7-B2DA-570417C5BB91}" srcOrd="0" destOrd="0" presId="urn:microsoft.com/office/officeart/2005/8/layout/cycle1"/>
    <dgm:cxn modelId="{EE04D656-01B1-4EA5-847A-9AFB970D9D9A}" type="presOf" srcId="{0C9145EA-6B94-4475-9F4D-A7A563164938}" destId="{247C0F17-AD99-48AF-A027-76DD4611C012}" srcOrd="0" destOrd="0" presId="urn:microsoft.com/office/officeart/2005/8/layout/cycle1"/>
    <dgm:cxn modelId="{F88DCF5D-5E48-44E8-8EAB-EE83C8F0E92C}" type="presOf" srcId="{B2330362-7566-4A2F-84D4-A3DA285D54F0}" destId="{17867F45-2339-48FE-8315-E2556F7B9440}" srcOrd="0" destOrd="0" presId="urn:microsoft.com/office/officeart/2005/8/layout/cycle1"/>
    <dgm:cxn modelId="{47803EEC-09BF-46CA-8D39-A01F4A7733B9}" srcId="{C57185B8-CDA0-4EC2-9F15-B7971513FF06}" destId="{F6B59221-9F86-4862-8A81-2149BAB60CC1}" srcOrd="0" destOrd="0" parTransId="{0BD9BDCD-8550-4302-AAEE-71967E8503E9}" sibTransId="{5AACE400-0439-45EF-896D-F4639149CA90}"/>
    <dgm:cxn modelId="{BFFBA520-8F21-4272-95C9-3E6DEDD9B34E}" type="presParOf" srcId="{91E1D808-FE6F-481C-B4F9-222C4FE00771}" destId="{428CEE34-E22E-4AA8-A85C-2D46C0FA15DF}" srcOrd="0" destOrd="0" presId="urn:microsoft.com/office/officeart/2005/8/layout/cycle1"/>
    <dgm:cxn modelId="{9F1F0626-F856-4D14-A1CA-13B60AA582C4}" type="presParOf" srcId="{91E1D808-FE6F-481C-B4F9-222C4FE00771}" destId="{2E4C1345-BECF-4F5E-99EC-E55D417E944E}" srcOrd="1" destOrd="0" presId="urn:microsoft.com/office/officeart/2005/8/layout/cycle1"/>
    <dgm:cxn modelId="{22C5BC90-F6C2-4997-B17C-A3EC38315D28}" type="presParOf" srcId="{91E1D808-FE6F-481C-B4F9-222C4FE00771}" destId="{6BE93A7E-1D8E-47B7-B2DA-570417C5BB91}" srcOrd="2" destOrd="0" presId="urn:microsoft.com/office/officeart/2005/8/layout/cycle1"/>
    <dgm:cxn modelId="{E8959782-4EA1-4ED7-B025-2CC859028C4E}" type="presParOf" srcId="{91E1D808-FE6F-481C-B4F9-222C4FE00771}" destId="{98ECCB82-7A04-41FA-B0DA-24023B19FA0B}" srcOrd="3" destOrd="0" presId="urn:microsoft.com/office/officeart/2005/8/layout/cycle1"/>
    <dgm:cxn modelId="{107B0A36-613F-4C48-80E7-15F92D5C37B5}" type="presParOf" srcId="{91E1D808-FE6F-481C-B4F9-222C4FE00771}" destId="{19FBE31C-4BDD-4967-8E38-08155EC143ED}" srcOrd="4" destOrd="0" presId="urn:microsoft.com/office/officeart/2005/8/layout/cycle1"/>
    <dgm:cxn modelId="{F218EEB3-BE5E-47A2-86B9-3574904D4DF0}" type="presParOf" srcId="{91E1D808-FE6F-481C-B4F9-222C4FE00771}" destId="{E334FDC7-2BAE-48B8-A93B-1672B534F643}" srcOrd="5" destOrd="0" presId="urn:microsoft.com/office/officeart/2005/8/layout/cycle1"/>
    <dgm:cxn modelId="{8D02C82E-82F5-4E8E-8253-0F81FF031DAF}" type="presParOf" srcId="{91E1D808-FE6F-481C-B4F9-222C4FE00771}" destId="{91069A67-FE46-4618-A8F2-EC3F42C9AC29}" srcOrd="6" destOrd="0" presId="urn:microsoft.com/office/officeart/2005/8/layout/cycle1"/>
    <dgm:cxn modelId="{0E753C86-6D4B-4502-8964-5B1EABEECD6E}" type="presParOf" srcId="{91E1D808-FE6F-481C-B4F9-222C4FE00771}" destId="{99DC845F-9A76-44E1-9046-216137C2B6CB}" srcOrd="7" destOrd="0" presId="urn:microsoft.com/office/officeart/2005/8/layout/cycle1"/>
    <dgm:cxn modelId="{3AD33BBF-5858-497A-AFCC-CCD2D56D7C3F}" type="presParOf" srcId="{91E1D808-FE6F-481C-B4F9-222C4FE00771}" destId="{247C0F17-AD99-48AF-A027-76DD4611C012}" srcOrd="8" destOrd="0" presId="urn:microsoft.com/office/officeart/2005/8/layout/cycle1"/>
    <dgm:cxn modelId="{00F843B5-DEA3-44A3-A495-558E6100875A}" type="presParOf" srcId="{91E1D808-FE6F-481C-B4F9-222C4FE00771}" destId="{5798E9C7-A22F-497F-95D1-495502AB25BB}" srcOrd="9" destOrd="0" presId="urn:microsoft.com/office/officeart/2005/8/layout/cycle1"/>
    <dgm:cxn modelId="{03F388DD-CD9E-4DD4-B6B3-E61935D3430D}" type="presParOf" srcId="{91E1D808-FE6F-481C-B4F9-222C4FE00771}" destId="{ECCA25E0-178D-4631-B507-CCE4AACD639F}" srcOrd="10" destOrd="0" presId="urn:microsoft.com/office/officeart/2005/8/layout/cycle1"/>
    <dgm:cxn modelId="{D4DB4518-44E3-445B-BC6D-76CF036EF59E}" type="presParOf" srcId="{91E1D808-FE6F-481C-B4F9-222C4FE00771}" destId="{56247E56-E9AB-4600-8AEC-8FF4CEB2D501}" srcOrd="11" destOrd="0" presId="urn:microsoft.com/office/officeart/2005/8/layout/cycle1"/>
    <dgm:cxn modelId="{E323D152-8CCF-4CCD-8AB0-7FB3DE913E84}" type="presParOf" srcId="{91E1D808-FE6F-481C-B4F9-222C4FE00771}" destId="{A885ABED-551F-4E4C-A710-AEB28721EF49}" srcOrd="12" destOrd="0" presId="urn:microsoft.com/office/officeart/2005/8/layout/cycle1"/>
    <dgm:cxn modelId="{416293D1-A9D2-4DE9-BB62-1E6EA8965A7B}" type="presParOf" srcId="{91E1D808-FE6F-481C-B4F9-222C4FE00771}" destId="{AFDDDF89-1A6F-48D7-BE87-0F800098DB4C}" srcOrd="13" destOrd="0" presId="urn:microsoft.com/office/officeart/2005/8/layout/cycle1"/>
    <dgm:cxn modelId="{80718546-4A91-46AC-B65E-8A2AD149EF51}" type="presParOf" srcId="{91E1D808-FE6F-481C-B4F9-222C4FE00771}" destId="{17867F45-2339-48FE-8315-E2556F7B9440}" srcOrd="14" destOrd="0" presId="urn:microsoft.com/office/officeart/2005/8/layout/cycle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C1345-BECF-4F5E-99EC-E55D417E944E}">
      <dsp:nvSpPr>
        <dsp:cNvPr id="0" name=""/>
        <dsp:cNvSpPr/>
      </dsp:nvSpPr>
      <dsp:spPr>
        <a:xfrm>
          <a:off x="1245311" y="54739"/>
          <a:ext cx="410707" cy="4107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a:ea typeface="+mn-ea"/>
              <a:cs typeface="+mn-cs"/>
            </a:rPr>
            <a:t>Why</a:t>
          </a:r>
        </a:p>
      </dsp:txBody>
      <dsp:txXfrm>
        <a:off x="1245311" y="54739"/>
        <a:ext cx="410707" cy="410707"/>
      </dsp:txXfrm>
    </dsp:sp>
    <dsp:sp modelId="{6BE93A7E-1D8E-47B7-B2DA-570417C5BB91}">
      <dsp:nvSpPr>
        <dsp:cNvPr id="0" name=""/>
        <dsp:cNvSpPr/>
      </dsp:nvSpPr>
      <dsp:spPr>
        <a:xfrm>
          <a:off x="242575" y="22866"/>
          <a:ext cx="1539583" cy="1539583"/>
        </a:xfrm>
        <a:prstGeom prst="circularArrow">
          <a:avLst>
            <a:gd name="adj1" fmla="val 5203"/>
            <a:gd name="adj2" fmla="val 336086"/>
            <a:gd name="adj3" fmla="val 21292537"/>
            <a:gd name="adj4" fmla="val 19766856"/>
            <a:gd name="adj5" fmla="val 607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9FBE31C-4BDD-4967-8E38-08155EC143ED}">
      <dsp:nvSpPr>
        <dsp:cNvPr id="0" name=""/>
        <dsp:cNvSpPr/>
      </dsp:nvSpPr>
      <dsp:spPr>
        <a:xfrm>
          <a:off x="1456435" y="776106"/>
          <a:ext cx="410707" cy="4107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a:ea typeface="+mn-ea"/>
              <a:cs typeface="+mn-cs"/>
            </a:rPr>
            <a:t>What</a:t>
          </a:r>
        </a:p>
      </dsp:txBody>
      <dsp:txXfrm>
        <a:off x="1456435" y="776106"/>
        <a:ext cx="410707" cy="410707"/>
      </dsp:txXfrm>
    </dsp:sp>
    <dsp:sp modelId="{E334FDC7-2BAE-48B8-A93B-1672B534F643}">
      <dsp:nvSpPr>
        <dsp:cNvPr id="0" name=""/>
        <dsp:cNvSpPr/>
      </dsp:nvSpPr>
      <dsp:spPr>
        <a:xfrm>
          <a:off x="240563" y="2996"/>
          <a:ext cx="1539583" cy="1539583"/>
        </a:xfrm>
        <a:prstGeom prst="circularArrow">
          <a:avLst>
            <a:gd name="adj1" fmla="val 5203"/>
            <a:gd name="adj2" fmla="val 336086"/>
            <a:gd name="adj3" fmla="val 4013968"/>
            <a:gd name="adj4" fmla="val 2254103"/>
            <a:gd name="adj5" fmla="val 607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9DC845F-9A76-44E1-9046-216137C2B6CB}">
      <dsp:nvSpPr>
        <dsp:cNvPr id="0" name=""/>
        <dsp:cNvSpPr/>
      </dsp:nvSpPr>
      <dsp:spPr>
        <a:xfrm>
          <a:off x="775123" y="1249182"/>
          <a:ext cx="410707" cy="4107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a:ea typeface="+mn-ea"/>
              <a:cs typeface="+mn-cs"/>
            </a:rPr>
            <a:t>How</a:t>
          </a:r>
        </a:p>
      </dsp:txBody>
      <dsp:txXfrm>
        <a:off x="775123" y="1249182"/>
        <a:ext cx="410707" cy="410707"/>
      </dsp:txXfrm>
    </dsp:sp>
    <dsp:sp modelId="{247C0F17-AD99-48AF-A027-76DD4611C012}">
      <dsp:nvSpPr>
        <dsp:cNvPr id="0" name=""/>
        <dsp:cNvSpPr/>
      </dsp:nvSpPr>
      <dsp:spPr>
        <a:xfrm>
          <a:off x="113138" y="-31327"/>
          <a:ext cx="1539583" cy="1539583"/>
        </a:xfrm>
        <a:prstGeom prst="circularArrow">
          <a:avLst>
            <a:gd name="adj1" fmla="val 5203"/>
            <a:gd name="adj2" fmla="val 336086"/>
            <a:gd name="adj3" fmla="val 8209811"/>
            <a:gd name="adj4" fmla="val 6449946"/>
            <a:gd name="adj5" fmla="val 607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CCA25E0-178D-4631-B507-CCE4AACD639F}">
      <dsp:nvSpPr>
        <dsp:cNvPr id="0" name=""/>
        <dsp:cNvSpPr/>
      </dsp:nvSpPr>
      <dsp:spPr>
        <a:xfrm>
          <a:off x="88525" y="813104"/>
          <a:ext cx="410707" cy="4107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a:ea typeface="+mn-ea"/>
              <a:cs typeface="+mn-cs"/>
            </a:rPr>
            <a:t>When</a:t>
          </a:r>
        </a:p>
      </dsp:txBody>
      <dsp:txXfrm>
        <a:off x="88525" y="813104"/>
        <a:ext cx="410707" cy="410707"/>
      </dsp:txXfrm>
    </dsp:sp>
    <dsp:sp modelId="{56247E56-E9AB-4600-8AEC-8FF4CEB2D501}">
      <dsp:nvSpPr>
        <dsp:cNvPr id="0" name=""/>
        <dsp:cNvSpPr/>
      </dsp:nvSpPr>
      <dsp:spPr>
        <a:xfrm>
          <a:off x="195967" y="4"/>
          <a:ext cx="1539583" cy="1539583"/>
        </a:xfrm>
        <a:prstGeom prst="circularArrow">
          <a:avLst>
            <a:gd name="adj1" fmla="val 5203"/>
            <a:gd name="adj2" fmla="val 336086"/>
            <a:gd name="adj3" fmla="val 12297058"/>
            <a:gd name="adj4" fmla="val 10771377"/>
            <a:gd name="adj5" fmla="val 607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FDDDF89-1A6F-48D7-BE87-0F800098DB4C}">
      <dsp:nvSpPr>
        <dsp:cNvPr id="0" name=""/>
        <dsp:cNvSpPr/>
      </dsp:nvSpPr>
      <dsp:spPr>
        <a:xfrm>
          <a:off x="363076" y="60027"/>
          <a:ext cx="410707" cy="4107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a:ea typeface="+mn-ea"/>
              <a:cs typeface="+mn-cs"/>
            </a:rPr>
            <a:t>Who</a:t>
          </a:r>
        </a:p>
      </dsp:txBody>
      <dsp:txXfrm>
        <a:off x="363076" y="60027"/>
        <a:ext cx="410707" cy="410707"/>
      </dsp:txXfrm>
    </dsp:sp>
    <dsp:sp modelId="{17867F45-2339-48FE-8315-E2556F7B9440}">
      <dsp:nvSpPr>
        <dsp:cNvPr id="0" name=""/>
        <dsp:cNvSpPr/>
      </dsp:nvSpPr>
      <dsp:spPr>
        <a:xfrm>
          <a:off x="195635" y="54075"/>
          <a:ext cx="1539583" cy="1539583"/>
        </a:xfrm>
        <a:prstGeom prst="circularArrow">
          <a:avLst>
            <a:gd name="adj1" fmla="val 5203"/>
            <a:gd name="adj2" fmla="val 336086"/>
            <a:gd name="adj3" fmla="val 16864959"/>
            <a:gd name="adj4" fmla="val 15198955"/>
            <a:gd name="adj5" fmla="val 607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2023-08-10T23:08:13+00:00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2023-08-10T23:08:13+00:00</PPLastReviewedDate>
    <PPSubmittedDate xmlns="687c0ba5-25f6-467d-a8e9-4285ca7a69ae">2023-08-10T23:08:00+00:00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550C166-A6A2-4EFD-87A3-9D52561639B3}"/>
</file>

<file path=customXml/itemProps2.xml><?xml version="1.0" encoding="utf-8"?>
<ds:datastoreItem xmlns:ds="http://schemas.openxmlformats.org/officeDocument/2006/customXml" ds:itemID="{B62FFA6E-979F-4CE8-BFDF-F797E767D40B}"/>
</file>

<file path=customXml/itemProps3.xml><?xml version="1.0" encoding="utf-8"?>
<ds:datastoreItem xmlns:ds="http://schemas.openxmlformats.org/officeDocument/2006/customXml" ds:itemID="{3A6B069D-1B01-4C99-8F77-879D9270E8E8}"/>
</file>

<file path=docProps/app.xml><?xml version="1.0" encoding="utf-8"?>
<Properties xmlns="http://schemas.openxmlformats.org/officeDocument/2006/extended-properties" xmlns:vt="http://schemas.openxmlformats.org/officeDocument/2006/docPropsVTypes">
  <Template>Normal.dotm</Template>
  <TotalTime>4</TotalTime>
  <Pages>2</Pages>
  <Words>1082</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Why relationships matter - North Coast Region</dc:title>
  <dc:subject/>
  <dc:creator>COOPER, Mark</dc:creator>
  <cp:keywords/>
  <dc:description/>
  <cp:lastModifiedBy>SAUNDERS, David</cp:lastModifiedBy>
  <cp:revision>5</cp:revision>
  <dcterms:created xsi:type="dcterms:W3CDTF">2016-03-16T02:38:00Z</dcterms:created>
  <dcterms:modified xsi:type="dcterms:W3CDTF">2017-02-08T23:36:00Z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