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66" w:rsidRDefault="007F3902" w:rsidP="00727366">
      <w:pPr>
        <w:pStyle w:val="Heading2"/>
        <w:spacing w:before="0" w:after="240"/>
        <w:jc w:val="both"/>
        <w:rPr>
          <w:bCs w:val="0"/>
          <w:iCs/>
          <w:color w:val="365F91" w:themeColor="accent1" w:themeShade="BF"/>
          <w:sz w:val="28"/>
          <w:szCs w:val="28"/>
        </w:rPr>
      </w:pPr>
      <w:r w:rsidRPr="00727366">
        <w:rPr>
          <w:bCs w:val="0"/>
          <w:iCs/>
          <w:color w:val="365F91" w:themeColor="accent1" w:themeShade="BF"/>
          <w:sz w:val="28"/>
          <w:szCs w:val="28"/>
        </w:rPr>
        <w:t xml:space="preserve">Supporting successful transitions </w:t>
      </w:r>
    </w:p>
    <w:p w:rsidR="007F3902" w:rsidRPr="00727366" w:rsidRDefault="00727366" w:rsidP="00727366">
      <w:pPr>
        <w:pStyle w:val="Heading2"/>
        <w:spacing w:before="0" w:after="240"/>
        <w:jc w:val="both"/>
        <w:rPr>
          <w:bCs w:val="0"/>
          <w:iCs/>
          <w:color w:val="365F91" w:themeColor="accent1" w:themeShade="BF"/>
          <w:sz w:val="28"/>
          <w:szCs w:val="28"/>
        </w:rPr>
      </w:pPr>
      <w:r>
        <w:rPr>
          <w:bCs w:val="0"/>
          <w:iCs/>
          <w:color w:val="365F91" w:themeColor="accent1" w:themeShade="BF"/>
          <w:sz w:val="28"/>
          <w:szCs w:val="28"/>
        </w:rPr>
        <w:t>Conversation starters:</w:t>
      </w:r>
    </w:p>
    <w:p w:rsidR="007227B9" w:rsidRPr="00727366" w:rsidRDefault="00DA10D2" w:rsidP="007F3902">
      <w:pPr>
        <w:pStyle w:val="Heading2"/>
        <w:spacing w:before="0" w:after="240"/>
        <w:jc w:val="both"/>
        <w:rPr>
          <w:bCs w:val="0"/>
          <w:iCs/>
          <w:color w:val="365F91" w:themeColor="accent1" w:themeShade="BF"/>
          <w:sz w:val="28"/>
          <w:szCs w:val="28"/>
        </w:rPr>
      </w:pPr>
      <w:bookmarkStart w:id="0" w:name="_GoBack"/>
      <w:r w:rsidRPr="00727366">
        <w:rPr>
          <w:bCs w:val="0"/>
          <w:iCs/>
          <w:color w:val="365F91" w:themeColor="accent1" w:themeShade="BF"/>
          <w:sz w:val="28"/>
          <w:szCs w:val="28"/>
        </w:rPr>
        <w:t>Principals and ECEC service providers</w:t>
      </w:r>
      <w:bookmarkEnd w:id="0"/>
    </w:p>
    <w:p w:rsidR="007227B9" w:rsidRPr="00727366" w:rsidRDefault="00907F22" w:rsidP="00727366">
      <w:pPr>
        <w:pStyle w:val="Heading3"/>
        <w:spacing w:before="0" w:after="240"/>
        <w:jc w:val="both"/>
        <w:rPr>
          <w:bCs w:val="0"/>
          <w:iCs/>
          <w:sz w:val="26"/>
          <w:szCs w:val="26"/>
        </w:rPr>
      </w:pPr>
      <w:r w:rsidRPr="00727366">
        <w:rPr>
          <w:bCs w:val="0"/>
          <w:iCs/>
          <w:sz w:val="26"/>
          <w:szCs w:val="26"/>
        </w:rPr>
        <w:t>Introduction</w:t>
      </w:r>
    </w:p>
    <w:p w:rsidR="00330882" w:rsidRPr="00727366" w:rsidRDefault="00CB498A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Trust, mutual 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respect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and reciprocity 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are fundamental to any successful relationship; this is consistent with the partnership between prior-to-school settings and schools. </w:t>
      </w:r>
    </w:p>
    <w:p w:rsidR="00330882" w:rsidRPr="00727366" w:rsidRDefault="00BA4653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The </w:t>
      </w:r>
      <w:r w:rsidR="00907F22" w:rsidRPr="00727366">
        <w:rPr>
          <w:rFonts w:ascii="Arial" w:hAnsi="Arial" w:cs="Arial"/>
          <w:bCs/>
          <w:iCs/>
          <w:sz w:val="18"/>
          <w:szCs w:val="18"/>
        </w:rPr>
        <w:t>connections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between a child’s current </w:t>
      </w:r>
      <w:r w:rsidR="00390480" w:rsidRPr="00727366">
        <w:rPr>
          <w:rFonts w:ascii="Arial" w:hAnsi="Arial" w:cs="Arial"/>
          <w:bCs/>
          <w:iCs/>
          <w:sz w:val="18"/>
          <w:szCs w:val="18"/>
        </w:rPr>
        <w:t>environment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and their new one can have a significant impact on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the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child and their families as they negotiate the transition to school. </w:t>
      </w:r>
    </w:p>
    <w:p w:rsidR="00BA4653" w:rsidRPr="00727366" w:rsidRDefault="00330882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There are a range of partners involved in supporting children’s transition to school. 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Ultimately, a strong partnership between all </w:t>
      </w:r>
      <w:r w:rsidR="0076070C" w:rsidRPr="00727366">
        <w:rPr>
          <w:rFonts w:ascii="Arial" w:hAnsi="Arial" w:cs="Arial"/>
          <w:bCs/>
          <w:iCs/>
          <w:sz w:val="18"/>
          <w:szCs w:val="18"/>
        </w:rPr>
        <w:t>adults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 and organisations included in</w:t>
      </w:r>
      <w:r w:rsidR="00907F22" w:rsidRPr="00727366">
        <w:rPr>
          <w:rFonts w:ascii="Arial" w:hAnsi="Arial" w:cs="Arial"/>
          <w:bCs/>
          <w:iCs/>
          <w:sz w:val="18"/>
          <w:szCs w:val="18"/>
        </w:rPr>
        <w:t xml:space="preserve"> each child’s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 support network is the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key 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>to provid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>ing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 a positive transition experience.</w:t>
      </w:r>
    </w:p>
    <w:p w:rsidR="00BA4653" w:rsidRPr="001D2D76" w:rsidRDefault="00BA4653" w:rsidP="007F3902">
      <w:pPr>
        <w:pStyle w:val="Heading3"/>
        <w:rPr>
          <w:rFonts w:asciiTheme="minorHAnsi" w:hAnsiTheme="minorHAnsi"/>
        </w:rPr>
      </w:pPr>
      <w:r w:rsidRPr="00727366">
        <w:rPr>
          <w:bCs w:val="0"/>
          <w:iCs/>
          <w:sz w:val="26"/>
          <w:szCs w:val="26"/>
        </w:rPr>
        <w:t>Conversation</w:t>
      </w:r>
      <w:r w:rsidRPr="001D2D76">
        <w:rPr>
          <w:rFonts w:asciiTheme="minorHAnsi" w:hAnsiTheme="minorHAnsi"/>
        </w:rPr>
        <w:t xml:space="preserve"> </w:t>
      </w:r>
      <w:r w:rsidRPr="00727366">
        <w:rPr>
          <w:bCs w:val="0"/>
          <w:iCs/>
          <w:sz w:val="26"/>
          <w:szCs w:val="26"/>
        </w:rPr>
        <w:t>starters</w:t>
      </w:r>
    </w:p>
    <w:p w:rsidR="00330882" w:rsidRPr="00727366" w:rsidRDefault="00330882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In Queensland, there is diversity in communities with regard to connections between schools and Early Childhood Education and Care (ECEC) service providers. This may be for a variety of reasons including changes in staff, increase in providers or simply from shifting priorities. Through effective collaboration, clarity in expectations and shared understandings, shared decision-making can be realised which will ultimately lead to better continuity between settings. </w:t>
      </w:r>
    </w:p>
    <w:p w:rsidR="00BA4653" w:rsidRPr="00727366" w:rsidRDefault="00BA4653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The purpose of this document is to provide a starting point for </w:t>
      </w:r>
      <w:r w:rsidR="006F0582" w:rsidRPr="00727366">
        <w:rPr>
          <w:rFonts w:ascii="Arial" w:hAnsi="Arial" w:cs="Arial"/>
          <w:bCs/>
          <w:iCs/>
          <w:sz w:val="18"/>
          <w:szCs w:val="18"/>
        </w:rPr>
        <w:t>p</w:t>
      </w:r>
      <w:r w:rsidRPr="00727366">
        <w:rPr>
          <w:rFonts w:ascii="Arial" w:hAnsi="Arial" w:cs="Arial"/>
          <w:bCs/>
          <w:iCs/>
          <w:sz w:val="18"/>
          <w:szCs w:val="18"/>
        </w:rPr>
        <w:t>rincipals</w:t>
      </w:r>
      <w:r w:rsidR="00C51617" w:rsidRPr="00727366">
        <w:rPr>
          <w:rFonts w:ascii="Arial" w:hAnsi="Arial" w:cs="Arial"/>
          <w:bCs/>
          <w:iCs/>
          <w:sz w:val="18"/>
          <w:szCs w:val="18"/>
        </w:rPr>
        <w:t>,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4E5E6F" w:rsidRPr="00727366">
        <w:rPr>
          <w:rFonts w:ascii="Arial" w:hAnsi="Arial" w:cs="Arial"/>
          <w:bCs/>
          <w:iCs/>
          <w:sz w:val="18"/>
          <w:szCs w:val="18"/>
        </w:rPr>
        <w:t xml:space="preserve">specifically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when beginning to build relationships with local </w:t>
      </w:r>
      <w:r w:rsidR="00DA10D2" w:rsidRPr="00727366">
        <w:rPr>
          <w:rFonts w:ascii="Arial" w:hAnsi="Arial" w:cs="Arial"/>
          <w:bCs/>
          <w:iCs/>
          <w:sz w:val="18"/>
          <w:szCs w:val="18"/>
        </w:rPr>
        <w:t xml:space="preserve">ECEC </w:t>
      </w:r>
      <w:r w:rsidR="00A86DA2" w:rsidRPr="00727366">
        <w:rPr>
          <w:rFonts w:ascii="Arial" w:hAnsi="Arial" w:cs="Arial"/>
          <w:bCs/>
          <w:iCs/>
          <w:sz w:val="18"/>
          <w:szCs w:val="18"/>
        </w:rPr>
        <w:t>educators</w:t>
      </w:r>
      <w:r w:rsidRPr="00727366">
        <w:rPr>
          <w:rFonts w:ascii="Arial" w:hAnsi="Arial" w:cs="Arial"/>
          <w:bCs/>
          <w:iCs/>
          <w:sz w:val="18"/>
          <w:szCs w:val="18"/>
        </w:rPr>
        <w:t>.</w:t>
      </w:r>
      <w:r w:rsidR="004E5E6F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BA4653" w:rsidRPr="00727366" w:rsidRDefault="00BA4653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The suggested topics are organised according to the </w:t>
      </w:r>
      <w:r w:rsidR="006F0582" w:rsidRPr="00727366">
        <w:rPr>
          <w:rFonts w:ascii="Arial" w:hAnsi="Arial" w:cs="Arial"/>
          <w:bCs/>
          <w:iCs/>
          <w:sz w:val="18"/>
          <w:szCs w:val="18"/>
        </w:rPr>
        <w:t>a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ction </w:t>
      </w:r>
      <w:r w:rsidR="006F0582" w:rsidRPr="00727366">
        <w:rPr>
          <w:rFonts w:ascii="Arial" w:hAnsi="Arial" w:cs="Arial"/>
          <w:bCs/>
          <w:iCs/>
          <w:sz w:val="18"/>
          <w:szCs w:val="18"/>
        </w:rPr>
        <w:t>a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reas described in the Supporting successful transitions: School decision-making tool and cover a range of aspects related to transitions in the early years. You may wish to use some or all of these to guide your conversations with </w:t>
      </w:r>
      <w:r w:rsidR="00390480" w:rsidRPr="00727366">
        <w:rPr>
          <w:rFonts w:ascii="Arial" w:hAnsi="Arial" w:cs="Arial"/>
          <w:bCs/>
          <w:iCs/>
          <w:sz w:val="18"/>
          <w:szCs w:val="18"/>
        </w:rPr>
        <w:t xml:space="preserve">ECEC </w:t>
      </w:r>
      <w:r w:rsidR="00A86DA2" w:rsidRPr="00727366">
        <w:rPr>
          <w:rFonts w:ascii="Arial" w:hAnsi="Arial" w:cs="Arial"/>
          <w:bCs/>
          <w:iCs/>
          <w:sz w:val="18"/>
          <w:szCs w:val="18"/>
        </w:rPr>
        <w:t>educators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. </w:t>
      </w:r>
    </w:p>
    <w:p w:rsidR="0087010B" w:rsidRPr="00727366" w:rsidRDefault="00CF5DCC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Also included are prompting questions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 for each topic and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a simple summary of possible actions </w:t>
      </w:r>
      <w:r w:rsidR="006F0582" w:rsidRPr="00727366">
        <w:rPr>
          <w:rFonts w:ascii="Arial" w:hAnsi="Arial" w:cs="Arial"/>
          <w:bCs/>
          <w:iCs/>
          <w:sz w:val="18"/>
          <w:szCs w:val="18"/>
        </w:rPr>
        <w:t>p</w:t>
      </w:r>
      <w:r w:rsidRPr="00727366">
        <w:rPr>
          <w:rFonts w:ascii="Arial" w:hAnsi="Arial" w:cs="Arial"/>
          <w:bCs/>
          <w:iCs/>
          <w:sz w:val="18"/>
          <w:szCs w:val="18"/>
        </w:rPr>
        <w:t>rincipals can take to respond to the information provided to strengthen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27366">
        <w:rPr>
          <w:rFonts w:ascii="Arial" w:hAnsi="Arial" w:cs="Arial"/>
          <w:bCs/>
          <w:iCs/>
          <w:sz w:val="18"/>
          <w:szCs w:val="18"/>
        </w:rPr>
        <w:t>relationships with local ECEC services</w:t>
      </w:r>
      <w:r w:rsidR="00BA4653" w:rsidRPr="00727366">
        <w:rPr>
          <w:rFonts w:ascii="Arial" w:hAnsi="Arial" w:cs="Arial"/>
          <w:bCs/>
          <w:iCs/>
          <w:sz w:val="18"/>
          <w:szCs w:val="18"/>
        </w:rPr>
        <w:t>.</w:t>
      </w:r>
    </w:p>
    <w:p w:rsidR="00A42757" w:rsidRPr="00727366" w:rsidRDefault="00A42757" w:rsidP="00727366">
      <w:pPr>
        <w:pStyle w:val="Heading3"/>
        <w:spacing w:before="0" w:after="240"/>
        <w:jc w:val="both"/>
        <w:rPr>
          <w:bCs w:val="0"/>
          <w:iCs/>
          <w:sz w:val="26"/>
          <w:szCs w:val="26"/>
        </w:rPr>
      </w:pPr>
      <w:r w:rsidRPr="00727366">
        <w:rPr>
          <w:bCs w:val="0"/>
          <w:iCs/>
          <w:sz w:val="26"/>
          <w:szCs w:val="26"/>
        </w:rPr>
        <w:t>Resources to</w:t>
      </w:r>
      <w:r w:rsidR="00D942C9" w:rsidRPr="00727366">
        <w:rPr>
          <w:bCs w:val="0"/>
          <w:iCs/>
          <w:sz w:val="26"/>
          <w:szCs w:val="26"/>
        </w:rPr>
        <w:t xml:space="preserve"> support conversations between s</w:t>
      </w:r>
      <w:r w:rsidRPr="00727366">
        <w:rPr>
          <w:bCs w:val="0"/>
          <w:iCs/>
          <w:sz w:val="26"/>
          <w:szCs w:val="26"/>
        </w:rPr>
        <w:t>chools and ECEC services</w:t>
      </w:r>
    </w:p>
    <w:p w:rsidR="00CB498A" w:rsidRPr="00727366" w:rsidRDefault="005A1C3D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Before you make contact with local ECEC services, explore the following </w:t>
      </w:r>
      <w:r w:rsidR="00CB498A" w:rsidRPr="00727366">
        <w:rPr>
          <w:rFonts w:ascii="Arial" w:hAnsi="Arial" w:cs="Arial"/>
          <w:bCs/>
          <w:iCs/>
          <w:sz w:val="18"/>
          <w:szCs w:val="18"/>
        </w:rPr>
        <w:t xml:space="preserve">resources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which </w:t>
      </w:r>
      <w:r w:rsidR="00CB498A" w:rsidRPr="00727366">
        <w:rPr>
          <w:rFonts w:ascii="Arial" w:hAnsi="Arial" w:cs="Arial"/>
          <w:bCs/>
          <w:iCs/>
          <w:sz w:val="18"/>
          <w:szCs w:val="18"/>
        </w:rPr>
        <w:t>provide helpful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information,</w:t>
      </w:r>
      <w:r w:rsidR="00CB498A" w:rsidRPr="00727366">
        <w:rPr>
          <w:rFonts w:ascii="Arial" w:hAnsi="Arial" w:cs="Arial"/>
          <w:bCs/>
          <w:iCs/>
          <w:sz w:val="18"/>
          <w:szCs w:val="18"/>
        </w:rPr>
        <w:t xml:space="preserve"> tips and ideas </w:t>
      </w:r>
      <w:r w:rsidRPr="00727366">
        <w:rPr>
          <w:rFonts w:ascii="Arial" w:hAnsi="Arial" w:cs="Arial"/>
          <w:bCs/>
          <w:iCs/>
          <w:sz w:val="18"/>
          <w:szCs w:val="18"/>
        </w:rPr>
        <w:t>around building reciprocal relationships with transition partners.</w:t>
      </w:r>
    </w:p>
    <w:p w:rsidR="00A42757" w:rsidRPr="00727366" w:rsidRDefault="006B6E1C" w:rsidP="00727366">
      <w:pPr>
        <w:pStyle w:val="Default"/>
        <w:numPr>
          <w:ilvl w:val="0"/>
          <w:numId w:val="29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hyperlink r:id="rId6" w:history="1">
        <w:r w:rsidR="00A42757" w:rsidRPr="00727366">
          <w:rPr>
            <w:rFonts w:ascii="Arial" w:hAnsi="Arial" w:cs="Arial"/>
            <w:bCs/>
            <w:iCs/>
            <w:sz w:val="18"/>
            <w:szCs w:val="18"/>
          </w:rPr>
          <w:t>Supporting successful transitions: School decision-making tool</w:t>
        </w:r>
      </w:hyperlink>
      <w:r w:rsidR="00A42757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 - 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>Queensland</w:t>
      </w:r>
      <w:r w:rsidR="00CC64F4" w:rsidRPr="00727366">
        <w:rPr>
          <w:rFonts w:ascii="Arial" w:hAnsi="Arial" w:cs="Arial"/>
          <w:bCs/>
          <w:iCs/>
          <w:sz w:val="18"/>
          <w:szCs w:val="18"/>
        </w:rPr>
        <w:t>’s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 xml:space="preserve"> framework for school transition planning and action</w:t>
      </w:r>
    </w:p>
    <w:p w:rsidR="00A42757" w:rsidRPr="00727366" w:rsidRDefault="006B6E1C" w:rsidP="00727366">
      <w:pPr>
        <w:pStyle w:val="Default"/>
        <w:numPr>
          <w:ilvl w:val="0"/>
          <w:numId w:val="29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hyperlink r:id="rId7" w:history="1">
        <w:r w:rsidR="00A42757" w:rsidRPr="00727366">
          <w:rPr>
            <w:rFonts w:ascii="Arial" w:hAnsi="Arial" w:cs="Arial"/>
            <w:bCs/>
            <w:iCs/>
            <w:sz w:val="18"/>
            <w:szCs w:val="18"/>
          </w:rPr>
          <w:t>Putting the AEDC into practice</w:t>
        </w:r>
      </w:hyperlink>
      <w:r w:rsidR="000A79CA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 - </w:t>
      </w:r>
      <w:r w:rsidR="00975AD8" w:rsidRPr="00727366">
        <w:rPr>
          <w:rFonts w:ascii="Arial" w:hAnsi="Arial" w:cs="Arial"/>
          <w:bCs/>
          <w:iCs/>
          <w:sz w:val="18"/>
          <w:szCs w:val="18"/>
        </w:rPr>
        <w:t>DET c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>ase studies highlighting partnerships in local communities</w:t>
      </w:r>
    </w:p>
    <w:p w:rsidR="00A42757" w:rsidRPr="00727366" w:rsidRDefault="006B6E1C" w:rsidP="00727366">
      <w:pPr>
        <w:pStyle w:val="Default"/>
        <w:numPr>
          <w:ilvl w:val="0"/>
          <w:numId w:val="29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hyperlink r:id="rId8" w:history="1">
        <w:r w:rsidR="00A42757" w:rsidRPr="00727366">
          <w:rPr>
            <w:rFonts w:ascii="Arial" w:hAnsi="Arial" w:cs="Arial"/>
            <w:bCs/>
            <w:iCs/>
            <w:sz w:val="18"/>
            <w:szCs w:val="18"/>
          </w:rPr>
          <w:t>Professional conversations</w:t>
        </w:r>
      </w:hyperlink>
      <w:r w:rsidR="000A79CA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 - </w:t>
      </w:r>
      <w:hyperlink r:id="rId9" w:history="1">
        <w:r w:rsidR="00975AD8" w:rsidRPr="00727366">
          <w:rPr>
            <w:rFonts w:ascii="Arial" w:hAnsi="Arial" w:cs="Arial"/>
            <w:bCs/>
            <w:iCs/>
            <w:sz w:val="18"/>
            <w:szCs w:val="18"/>
          </w:rPr>
          <w:t>QCAA</w:t>
        </w:r>
      </w:hyperlink>
      <w:r w:rsidR="00975AD8" w:rsidRPr="00727366">
        <w:rPr>
          <w:rFonts w:ascii="Arial" w:hAnsi="Arial" w:cs="Arial"/>
          <w:bCs/>
          <w:iCs/>
          <w:sz w:val="18"/>
          <w:szCs w:val="18"/>
        </w:rPr>
        <w:t xml:space="preserve"> v</w:t>
      </w:r>
      <w:r w:rsidR="000A79CA" w:rsidRPr="00727366">
        <w:rPr>
          <w:rFonts w:ascii="Arial" w:hAnsi="Arial" w:cs="Arial"/>
          <w:bCs/>
          <w:iCs/>
          <w:sz w:val="18"/>
          <w:szCs w:val="18"/>
        </w:rPr>
        <w:t xml:space="preserve">ideo </w:t>
      </w:r>
      <w:r w:rsidR="00A71523" w:rsidRPr="00727366">
        <w:rPr>
          <w:rFonts w:ascii="Arial" w:hAnsi="Arial" w:cs="Arial"/>
          <w:bCs/>
          <w:iCs/>
          <w:sz w:val="18"/>
          <w:szCs w:val="18"/>
        </w:rPr>
        <w:t xml:space="preserve">showing ECEC educators and school staff </w:t>
      </w:r>
      <w:r w:rsidR="00975AD8" w:rsidRPr="00727366">
        <w:rPr>
          <w:rFonts w:ascii="Arial" w:hAnsi="Arial" w:cs="Arial"/>
          <w:bCs/>
          <w:iCs/>
          <w:sz w:val="18"/>
          <w:szCs w:val="18"/>
        </w:rPr>
        <w:t>discussing</w:t>
      </w:r>
      <w:r w:rsidR="00A71523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 xml:space="preserve">Transition Statements </w:t>
      </w:r>
    </w:p>
    <w:p w:rsidR="00A42757" w:rsidRPr="001D2D76" w:rsidRDefault="006B6E1C" w:rsidP="00727366">
      <w:pPr>
        <w:pStyle w:val="Default"/>
        <w:numPr>
          <w:ilvl w:val="0"/>
          <w:numId w:val="29"/>
        </w:numPr>
        <w:spacing w:after="240" w:line="276" w:lineRule="auto"/>
      </w:pPr>
      <w:hyperlink r:id="rId10" w:history="1">
        <w:r w:rsidR="00A42757" w:rsidRPr="00727366">
          <w:rPr>
            <w:rFonts w:ascii="Arial" w:hAnsi="Arial" w:cs="Arial"/>
            <w:bCs/>
            <w:iCs/>
            <w:sz w:val="18"/>
            <w:szCs w:val="18"/>
          </w:rPr>
          <w:t>Partners in transitions</w:t>
        </w:r>
      </w:hyperlink>
      <w:r w:rsidR="000A79CA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 - </w:t>
      </w:r>
      <w:hyperlink r:id="rId11" w:history="1">
        <w:r w:rsidR="00975AD8" w:rsidRPr="00727366">
          <w:rPr>
            <w:rFonts w:ascii="Arial" w:hAnsi="Arial" w:cs="Arial"/>
            <w:bCs/>
            <w:iCs/>
            <w:sz w:val="18"/>
            <w:szCs w:val="18"/>
          </w:rPr>
          <w:t>QCAA</w:t>
        </w:r>
      </w:hyperlink>
      <w:r w:rsidR="00975AD8" w:rsidRPr="00727366">
        <w:rPr>
          <w:rFonts w:ascii="Arial" w:hAnsi="Arial" w:cs="Arial"/>
          <w:bCs/>
          <w:iCs/>
          <w:sz w:val="18"/>
          <w:szCs w:val="18"/>
        </w:rPr>
        <w:t xml:space="preserve"> v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>ideo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s 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 xml:space="preserve">highlighting the range of partners involved in children’s transition to school </w:t>
      </w:r>
    </w:p>
    <w:p w:rsidR="00E95428" w:rsidRPr="00727366" w:rsidRDefault="00E95428" w:rsidP="00727366">
      <w:pPr>
        <w:pStyle w:val="Heading3"/>
        <w:spacing w:before="0" w:after="240"/>
        <w:jc w:val="both"/>
        <w:rPr>
          <w:bCs w:val="0"/>
          <w:iCs/>
          <w:sz w:val="26"/>
          <w:szCs w:val="26"/>
        </w:rPr>
      </w:pPr>
      <w:r w:rsidRPr="00727366">
        <w:rPr>
          <w:bCs w:val="0"/>
          <w:iCs/>
          <w:sz w:val="26"/>
          <w:szCs w:val="26"/>
        </w:rPr>
        <w:lastRenderedPageBreak/>
        <w:t xml:space="preserve">Engaging with </w:t>
      </w:r>
      <w:r w:rsidR="00CE1C45" w:rsidRPr="00727366">
        <w:rPr>
          <w:bCs w:val="0"/>
          <w:iCs/>
          <w:sz w:val="26"/>
          <w:szCs w:val="26"/>
        </w:rPr>
        <w:t>your ECEC service partners</w:t>
      </w:r>
    </w:p>
    <w:p w:rsidR="00CE1C45" w:rsidRPr="00E60448" w:rsidRDefault="00CE1C45" w:rsidP="00E60448">
      <w:pPr>
        <w:pStyle w:val="Heading3"/>
      </w:pPr>
      <w:r w:rsidRPr="00E60448">
        <w:t>Identify services</w:t>
      </w:r>
    </w:p>
    <w:p w:rsidR="00CE1C45" w:rsidRPr="00727366" w:rsidRDefault="00CE1C45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In your community, you may have</w:t>
      </w:r>
      <w:r w:rsidR="00B02532" w:rsidRPr="00727366">
        <w:rPr>
          <w:rFonts w:ascii="Arial" w:hAnsi="Arial" w:cs="Arial"/>
          <w:bCs/>
          <w:iCs/>
          <w:sz w:val="18"/>
          <w:szCs w:val="18"/>
        </w:rPr>
        <w:t xml:space="preserve"> only a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few or </w:t>
      </w:r>
      <w:r w:rsidR="007E193F" w:rsidRPr="00727366">
        <w:rPr>
          <w:rFonts w:ascii="Arial" w:hAnsi="Arial" w:cs="Arial"/>
          <w:bCs/>
          <w:iCs/>
          <w:sz w:val="18"/>
          <w:szCs w:val="18"/>
        </w:rPr>
        <w:t xml:space="preserve">possibly </w:t>
      </w:r>
      <w:r w:rsidRPr="00727366">
        <w:rPr>
          <w:rFonts w:ascii="Arial" w:hAnsi="Arial" w:cs="Arial"/>
          <w:bCs/>
          <w:iCs/>
          <w:sz w:val="18"/>
          <w:szCs w:val="18"/>
        </w:rPr>
        <w:t>multiple ECEC services</w:t>
      </w:r>
      <w:r w:rsidR="007E193F" w:rsidRPr="00727366">
        <w:rPr>
          <w:rFonts w:ascii="Arial" w:hAnsi="Arial" w:cs="Arial"/>
          <w:bCs/>
          <w:iCs/>
          <w:sz w:val="18"/>
          <w:szCs w:val="18"/>
        </w:rPr>
        <w:t xml:space="preserve"> operating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. 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>It is important to remember that there are a variety of settings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 xml:space="preserve"> in which children transition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 xml:space="preserve"> from, this 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>may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 xml:space="preserve"> include 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>home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 xml:space="preserve">, family day care, long day care, </w:t>
      </w:r>
      <w:proofErr w:type="gramStart"/>
      <w:r w:rsidR="004E59CD" w:rsidRPr="00727366">
        <w:rPr>
          <w:rFonts w:ascii="Arial" w:hAnsi="Arial" w:cs="Arial"/>
          <w:bCs/>
          <w:iCs/>
          <w:sz w:val="18"/>
          <w:szCs w:val="18"/>
        </w:rPr>
        <w:t>community</w:t>
      </w:r>
      <w:proofErr w:type="gramEnd"/>
      <w:r w:rsidR="004E59CD" w:rsidRPr="00727366">
        <w:rPr>
          <w:rFonts w:ascii="Arial" w:hAnsi="Arial" w:cs="Arial"/>
          <w:bCs/>
          <w:iCs/>
          <w:sz w:val="18"/>
          <w:szCs w:val="18"/>
        </w:rPr>
        <w:t xml:space="preserve"> kindergarten, kindergarten on a school site</w:t>
      </w:r>
      <w:r w:rsidR="00A42757" w:rsidRPr="00727366">
        <w:rPr>
          <w:rFonts w:ascii="Arial" w:hAnsi="Arial" w:cs="Arial"/>
          <w:bCs/>
          <w:iCs/>
          <w:sz w:val="18"/>
          <w:szCs w:val="18"/>
        </w:rPr>
        <w:t>,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A42757" w:rsidRPr="00727366">
        <w:rPr>
          <w:rFonts w:ascii="Arial" w:hAnsi="Arial" w:cs="Arial"/>
          <w:bCs/>
          <w:iCs/>
          <w:sz w:val="18"/>
          <w:szCs w:val="18"/>
        </w:rPr>
        <w:t>eKindy</w:t>
      </w:r>
      <w:proofErr w:type="spellEnd"/>
      <w:r w:rsidR="00A42757" w:rsidRPr="00727366">
        <w:rPr>
          <w:rFonts w:ascii="Arial" w:hAnsi="Arial" w:cs="Arial"/>
          <w:bCs/>
          <w:iCs/>
          <w:sz w:val="18"/>
          <w:szCs w:val="18"/>
        </w:rPr>
        <w:t xml:space="preserve"> (distance kindergarten option) 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>or even an Outside Hours School Care (OHSC) service.</w:t>
      </w:r>
    </w:p>
    <w:p w:rsidR="004E59CD" w:rsidRPr="001D2D76" w:rsidRDefault="004E59CD" w:rsidP="007F3902">
      <w:pPr>
        <w:spacing w:after="240"/>
        <w:ind w:firstLine="360"/>
        <w:jc w:val="both"/>
        <w:rPr>
          <w:b/>
          <w:bCs/>
        </w:rPr>
      </w:pPr>
      <w:r w:rsidRPr="001D2D76">
        <w:rPr>
          <w:b/>
          <w:bCs/>
        </w:rPr>
        <w:t>Simple tips:</w:t>
      </w:r>
    </w:p>
    <w:p w:rsidR="001C1942" w:rsidRPr="00727366" w:rsidRDefault="00CE1C45" w:rsidP="00727366">
      <w:pPr>
        <w:pStyle w:val="Default"/>
        <w:numPr>
          <w:ilvl w:val="0"/>
          <w:numId w:val="30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Use the My child website to identify ECEC services in your local area</w:t>
      </w:r>
      <w:r w:rsidR="00534D26" w:rsidRPr="00727366">
        <w:rPr>
          <w:rFonts w:ascii="Arial" w:hAnsi="Arial" w:cs="Arial"/>
          <w:bCs/>
          <w:iCs/>
          <w:sz w:val="18"/>
          <w:szCs w:val="18"/>
        </w:rPr>
        <w:t>: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hyperlink r:id="rId12" w:history="1">
        <w:r w:rsidR="0022733D" w:rsidRPr="00727366">
          <w:rPr>
            <w:rFonts w:ascii="Arial" w:hAnsi="Arial" w:cs="Arial"/>
            <w:iCs/>
            <w:sz w:val="18"/>
            <w:szCs w:val="18"/>
          </w:rPr>
          <w:t>http://www.mychild.gov.au/</w:t>
        </w:r>
      </w:hyperlink>
    </w:p>
    <w:p w:rsidR="004E59CD" w:rsidRPr="00727366" w:rsidRDefault="004E59CD" w:rsidP="00727366">
      <w:pPr>
        <w:pStyle w:val="Default"/>
        <w:numPr>
          <w:ilvl w:val="0"/>
          <w:numId w:val="30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Access Google Maps to better understand </w:t>
      </w:r>
      <w:r w:rsidR="00F17DEE" w:rsidRPr="00727366">
        <w:rPr>
          <w:rFonts w:ascii="Arial" w:hAnsi="Arial" w:cs="Arial"/>
          <w:bCs/>
          <w:iCs/>
          <w:sz w:val="18"/>
          <w:szCs w:val="18"/>
        </w:rPr>
        <w:t>the range of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services</w:t>
      </w:r>
      <w:r w:rsidR="00534D26" w:rsidRPr="00727366">
        <w:rPr>
          <w:rFonts w:ascii="Arial" w:hAnsi="Arial" w:cs="Arial"/>
          <w:bCs/>
          <w:iCs/>
          <w:sz w:val="18"/>
          <w:szCs w:val="18"/>
        </w:rPr>
        <w:t xml:space="preserve"> offered in your local community: </w:t>
      </w:r>
      <w:hyperlink r:id="rId13" w:history="1">
        <w:r w:rsidRPr="00727366">
          <w:rPr>
            <w:rFonts w:ascii="Arial" w:hAnsi="Arial" w:cs="Arial"/>
            <w:iCs/>
            <w:sz w:val="18"/>
            <w:szCs w:val="18"/>
          </w:rPr>
          <w:t>https://www.google.com.au/maps</w:t>
        </w:r>
      </w:hyperlink>
      <w:r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A86DA2" w:rsidRPr="00727366" w:rsidRDefault="00A86DA2" w:rsidP="00727366">
      <w:pPr>
        <w:pStyle w:val="Default"/>
        <w:numPr>
          <w:ilvl w:val="0"/>
          <w:numId w:val="30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Your Early </w:t>
      </w:r>
      <w:r w:rsidR="00C51617" w:rsidRPr="00727366">
        <w:rPr>
          <w:rFonts w:ascii="Arial" w:hAnsi="Arial" w:cs="Arial"/>
          <w:bCs/>
          <w:iCs/>
          <w:sz w:val="18"/>
          <w:szCs w:val="18"/>
        </w:rPr>
        <w:t>Childhood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school data profile will provide valuable information on the ECEC services in your area and other key data to support transition planning and action</w:t>
      </w:r>
      <w:r w:rsidR="00512F15" w:rsidRPr="00727366">
        <w:rPr>
          <w:rFonts w:ascii="Arial" w:hAnsi="Arial" w:cs="Arial"/>
          <w:bCs/>
          <w:iCs/>
          <w:sz w:val="18"/>
          <w:szCs w:val="18"/>
        </w:rPr>
        <w:t>.</w:t>
      </w:r>
    </w:p>
    <w:p w:rsidR="007E193F" w:rsidRPr="00727366" w:rsidRDefault="007E193F" w:rsidP="00E60448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Partnering with </w:t>
      </w:r>
      <w:r w:rsidR="00135E38" w:rsidRPr="00727366">
        <w:rPr>
          <w:rFonts w:ascii="Arial" w:hAnsi="Arial" w:cs="Arial"/>
          <w:bCs/>
          <w:iCs/>
          <w:sz w:val="18"/>
          <w:szCs w:val="18"/>
        </w:rPr>
        <w:t>services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may extend beyond your geographical catchment area. </w:t>
      </w:r>
      <w:r w:rsidR="00135E38" w:rsidRPr="00727366">
        <w:rPr>
          <w:rFonts w:ascii="Arial" w:hAnsi="Arial" w:cs="Arial"/>
          <w:bCs/>
          <w:iCs/>
          <w:sz w:val="18"/>
          <w:szCs w:val="18"/>
        </w:rPr>
        <w:t xml:space="preserve">This will depend on where the children attend prior to enrolling in </w:t>
      </w:r>
      <w:r w:rsidR="00F17DEE" w:rsidRPr="00727366">
        <w:rPr>
          <w:rFonts w:ascii="Arial" w:hAnsi="Arial" w:cs="Arial"/>
          <w:bCs/>
          <w:iCs/>
          <w:sz w:val="18"/>
          <w:szCs w:val="18"/>
        </w:rPr>
        <w:t>Prep</w:t>
      </w:r>
      <w:r w:rsidR="00135E38" w:rsidRPr="00727366">
        <w:rPr>
          <w:rFonts w:ascii="Arial" w:hAnsi="Arial" w:cs="Arial"/>
          <w:bCs/>
          <w:iCs/>
          <w:sz w:val="18"/>
          <w:szCs w:val="18"/>
        </w:rPr>
        <w:t xml:space="preserve">. 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>Regardless, i</w:t>
      </w:r>
      <w:r w:rsidR="00135E38" w:rsidRPr="00727366">
        <w:rPr>
          <w:rFonts w:ascii="Arial" w:hAnsi="Arial" w:cs="Arial"/>
          <w:bCs/>
          <w:iCs/>
          <w:sz w:val="18"/>
          <w:szCs w:val="18"/>
        </w:rPr>
        <w:t xml:space="preserve">t </w:t>
      </w:r>
      <w:r w:rsidR="00F17DEE" w:rsidRPr="00727366">
        <w:rPr>
          <w:rFonts w:ascii="Arial" w:hAnsi="Arial" w:cs="Arial"/>
          <w:bCs/>
          <w:iCs/>
          <w:sz w:val="18"/>
          <w:szCs w:val="18"/>
        </w:rPr>
        <w:t>may</w:t>
      </w:r>
      <w:r w:rsidR="00135E38" w:rsidRPr="00727366">
        <w:rPr>
          <w:rFonts w:ascii="Arial" w:hAnsi="Arial" w:cs="Arial"/>
          <w:bCs/>
          <w:iCs/>
          <w:sz w:val="18"/>
          <w:szCs w:val="18"/>
        </w:rPr>
        <w:t xml:space="preserve"> be 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>valuable</w:t>
      </w:r>
      <w:r w:rsidR="00135E38" w:rsidRPr="00727366">
        <w:rPr>
          <w:rFonts w:ascii="Arial" w:hAnsi="Arial" w:cs="Arial"/>
          <w:bCs/>
          <w:iCs/>
          <w:sz w:val="18"/>
          <w:szCs w:val="18"/>
        </w:rPr>
        <w:t xml:space="preserve"> to partner with services both in close geographic proximity as well as those 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>in the wider community</w:t>
      </w:r>
      <w:r w:rsidR="00F17DEE" w:rsidRPr="00727366">
        <w:rPr>
          <w:rFonts w:ascii="Arial" w:hAnsi="Arial" w:cs="Arial"/>
          <w:bCs/>
          <w:iCs/>
          <w:sz w:val="18"/>
          <w:szCs w:val="18"/>
        </w:rPr>
        <w:t xml:space="preserve"> to strengthen your transition processes and better support the children and families in the local community</w:t>
      </w:r>
      <w:r w:rsidR="004E59CD" w:rsidRPr="00727366">
        <w:rPr>
          <w:rFonts w:ascii="Arial" w:hAnsi="Arial" w:cs="Arial"/>
          <w:bCs/>
          <w:iCs/>
          <w:sz w:val="18"/>
          <w:szCs w:val="18"/>
        </w:rPr>
        <w:t>.</w:t>
      </w:r>
      <w:r w:rsidR="00135E38" w:rsidRPr="00727366">
        <w:rPr>
          <w:rFonts w:ascii="Arial" w:hAnsi="Arial" w:cs="Arial"/>
          <w:bCs/>
          <w:iCs/>
          <w:sz w:val="18"/>
          <w:szCs w:val="18"/>
        </w:rPr>
        <w:t xml:space="preserve">  </w:t>
      </w:r>
    </w:p>
    <w:p w:rsidR="004E59CD" w:rsidRPr="00E60448" w:rsidRDefault="004E59CD" w:rsidP="00E60448">
      <w:pPr>
        <w:pStyle w:val="Default"/>
        <w:spacing w:after="240" w:line="276" w:lineRule="auto"/>
        <w:ind w:firstLine="360"/>
        <w:rPr>
          <w:rFonts w:ascii="Arial" w:hAnsi="Arial" w:cs="Arial"/>
          <w:b/>
          <w:bCs/>
          <w:iCs/>
          <w:sz w:val="18"/>
          <w:szCs w:val="18"/>
        </w:rPr>
      </w:pPr>
      <w:r w:rsidRPr="00E60448">
        <w:rPr>
          <w:rFonts w:ascii="Arial" w:hAnsi="Arial" w:cs="Arial"/>
          <w:b/>
          <w:bCs/>
          <w:iCs/>
          <w:sz w:val="18"/>
          <w:szCs w:val="18"/>
        </w:rPr>
        <w:t>Simple tips:</w:t>
      </w:r>
    </w:p>
    <w:p w:rsidR="001C1942" w:rsidRPr="00727366" w:rsidRDefault="00C51617" w:rsidP="00727366">
      <w:pPr>
        <w:pStyle w:val="Default"/>
        <w:numPr>
          <w:ilvl w:val="0"/>
          <w:numId w:val="30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Connect</w:t>
      </w:r>
      <w:r w:rsidR="00A86DA2" w:rsidRPr="00727366">
        <w:rPr>
          <w:rFonts w:ascii="Arial" w:hAnsi="Arial" w:cs="Arial"/>
          <w:bCs/>
          <w:iCs/>
          <w:sz w:val="18"/>
          <w:szCs w:val="18"/>
        </w:rPr>
        <w:t xml:space="preserve"> with local ECEC educators where childre</w:t>
      </w:r>
      <w:r w:rsidR="006F0582" w:rsidRPr="00727366">
        <w:rPr>
          <w:rFonts w:ascii="Arial" w:hAnsi="Arial" w:cs="Arial"/>
          <w:bCs/>
          <w:iCs/>
          <w:sz w:val="18"/>
          <w:szCs w:val="18"/>
        </w:rPr>
        <w:t>n are attending prior to school.</w:t>
      </w:r>
    </w:p>
    <w:p w:rsidR="00CE1C45" w:rsidRPr="00727366" w:rsidRDefault="004E59CD" w:rsidP="00727366">
      <w:pPr>
        <w:pStyle w:val="Default"/>
        <w:numPr>
          <w:ilvl w:val="0"/>
          <w:numId w:val="30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It may be</w:t>
      </w:r>
      <w:r w:rsidR="00CE1C45" w:rsidRPr="00727366">
        <w:rPr>
          <w:rFonts w:ascii="Arial" w:hAnsi="Arial" w:cs="Arial"/>
          <w:bCs/>
          <w:iCs/>
          <w:sz w:val="18"/>
          <w:szCs w:val="18"/>
        </w:rPr>
        <w:t xml:space="preserve"> appropriate to approach families currently enrolled in your school to gain insight into where children attended prior to school</w:t>
      </w:r>
      <w:r w:rsidR="00534D26" w:rsidRPr="00727366">
        <w:rPr>
          <w:rFonts w:ascii="Arial" w:hAnsi="Arial" w:cs="Arial"/>
          <w:bCs/>
          <w:iCs/>
          <w:sz w:val="18"/>
          <w:szCs w:val="18"/>
        </w:rPr>
        <w:t>.</w:t>
      </w:r>
    </w:p>
    <w:p w:rsidR="00CE1C45" w:rsidRPr="00E60448" w:rsidRDefault="00CE1C45" w:rsidP="007F3902">
      <w:pPr>
        <w:pStyle w:val="Heading3"/>
      </w:pPr>
      <w:r w:rsidRPr="00E60448">
        <w:t>Make contact with services</w:t>
      </w:r>
    </w:p>
    <w:p w:rsidR="00CE1C45" w:rsidRPr="00727366" w:rsidRDefault="00CE1C45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You </w:t>
      </w:r>
      <w:r w:rsidR="00EE6CA8" w:rsidRPr="00727366">
        <w:rPr>
          <w:rFonts w:ascii="Arial" w:hAnsi="Arial" w:cs="Arial"/>
          <w:bCs/>
          <w:iCs/>
          <w:sz w:val="18"/>
          <w:szCs w:val="18"/>
        </w:rPr>
        <w:t>might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approach </w:t>
      </w:r>
      <w:r w:rsidR="00C51617" w:rsidRPr="00727366">
        <w:rPr>
          <w:rFonts w:ascii="Arial" w:hAnsi="Arial" w:cs="Arial"/>
          <w:bCs/>
          <w:iCs/>
          <w:sz w:val="18"/>
          <w:szCs w:val="18"/>
        </w:rPr>
        <w:t>services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on an individual basis or alternatively engage with several </w:t>
      </w:r>
      <w:r w:rsidR="00EE6CA8" w:rsidRPr="00727366">
        <w:rPr>
          <w:rFonts w:ascii="Arial" w:hAnsi="Arial" w:cs="Arial"/>
          <w:bCs/>
          <w:iCs/>
          <w:sz w:val="18"/>
          <w:szCs w:val="18"/>
        </w:rPr>
        <w:t>simultaneously.</w:t>
      </w:r>
    </w:p>
    <w:p w:rsidR="00EE6CA8" w:rsidRPr="00E60448" w:rsidRDefault="00EE6CA8" w:rsidP="00E60448">
      <w:pPr>
        <w:pStyle w:val="Default"/>
        <w:spacing w:after="240" w:line="276" w:lineRule="auto"/>
        <w:ind w:firstLine="360"/>
        <w:rPr>
          <w:rFonts w:ascii="Arial" w:hAnsi="Arial" w:cs="Arial"/>
          <w:b/>
          <w:bCs/>
          <w:iCs/>
          <w:sz w:val="18"/>
          <w:szCs w:val="18"/>
        </w:rPr>
      </w:pPr>
      <w:r w:rsidRPr="00E60448">
        <w:rPr>
          <w:rFonts w:ascii="Arial" w:hAnsi="Arial" w:cs="Arial"/>
          <w:b/>
          <w:bCs/>
          <w:iCs/>
          <w:sz w:val="18"/>
          <w:szCs w:val="18"/>
        </w:rPr>
        <w:t>Simple tips:</w:t>
      </w:r>
    </w:p>
    <w:p w:rsidR="004E59CD" w:rsidRPr="00727366" w:rsidRDefault="004E59CD" w:rsidP="00727366">
      <w:pPr>
        <w:pStyle w:val="Default"/>
        <w:numPr>
          <w:ilvl w:val="0"/>
          <w:numId w:val="31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Consider how you fi</w:t>
      </w:r>
      <w:r w:rsidR="00F9117D" w:rsidRPr="00727366">
        <w:rPr>
          <w:rFonts w:ascii="Arial" w:hAnsi="Arial" w:cs="Arial"/>
          <w:bCs/>
          <w:iCs/>
          <w:sz w:val="18"/>
          <w:szCs w:val="18"/>
        </w:rPr>
        <w:t>rst make contact with ECEC services.</w:t>
      </w:r>
      <w:r w:rsidR="002730B8" w:rsidRPr="00727366">
        <w:rPr>
          <w:rFonts w:ascii="Arial" w:hAnsi="Arial" w:cs="Arial"/>
          <w:bCs/>
          <w:iCs/>
          <w:sz w:val="18"/>
          <w:szCs w:val="18"/>
        </w:rPr>
        <w:t xml:space="preserve"> If it is the first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 xml:space="preserve"> point of contact, a phone call, </w:t>
      </w:r>
      <w:r w:rsidR="002730B8" w:rsidRPr="00727366">
        <w:rPr>
          <w:rFonts w:ascii="Arial" w:hAnsi="Arial" w:cs="Arial"/>
          <w:bCs/>
          <w:iCs/>
          <w:sz w:val="18"/>
          <w:szCs w:val="18"/>
        </w:rPr>
        <w:t xml:space="preserve">email or letter may be more appropriate than an unexpected 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>visit.</w:t>
      </w:r>
    </w:p>
    <w:p w:rsidR="00EE6CA8" w:rsidRPr="00727366" w:rsidRDefault="00EE6CA8" w:rsidP="00727366">
      <w:pPr>
        <w:pStyle w:val="Default"/>
        <w:numPr>
          <w:ilvl w:val="0"/>
          <w:numId w:val="31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Invite </w:t>
      </w:r>
      <w:r w:rsidR="00F9117D" w:rsidRPr="00727366">
        <w:rPr>
          <w:rFonts w:ascii="Arial" w:hAnsi="Arial" w:cs="Arial"/>
          <w:bCs/>
          <w:iCs/>
          <w:sz w:val="18"/>
          <w:szCs w:val="18"/>
        </w:rPr>
        <w:t>educators</w:t>
      </w:r>
      <w:r w:rsidR="0088381A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27366">
        <w:rPr>
          <w:rFonts w:ascii="Arial" w:hAnsi="Arial" w:cs="Arial"/>
          <w:bCs/>
          <w:iCs/>
          <w:sz w:val="18"/>
          <w:szCs w:val="18"/>
        </w:rPr>
        <w:t>for morning or afternoon tea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>, it may not be necessary to have a formal meeting planned. Keeping it</w:t>
      </w:r>
      <w:r w:rsidR="004E5E6F" w:rsidRPr="00727366">
        <w:rPr>
          <w:rFonts w:ascii="Arial" w:hAnsi="Arial" w:cs="Arial"/>
          <w:bCs/>
          <w:iCs/>
          <w:sz w:val="18"/>
          <w:szCs w:val="18"/>
        </w:rPr>
        <w:t xml:space="preserve"> simple,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accessible </w:t>
      </w:r>
      <w:r w:rsidR="004E5E6F" w:rsidRPr="00727366">
        <w:rPr>
          <w:rFonts w:ascii="Arial" w:hAnsi="Arial" w:cs="Arial"/>
          <w:bCs/>
          <w:iCs/>
          <w:sz w:val="18"/>
          <w:szCs w:val="18"/>
        </w:rPr>
        <w:t xml:space="preserve">and with a light tone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is a strong starting point. Finding time to open up the school and welcome the </w:t>
      </w:r>
      <w:r w:rsidR="00F9117D" w:rsidRPr="00727366">
        <w:rPr>
          <w:rFonts w:ascii="Arial" w:hAnsi="Arial" w:cs="Arial"/>
          <w:bCs/>
          <w:iCs/>
          <w:sz w:val="18"/>
          <w:szCs w:val="18"/>
        </w:rPr>
        <w:t>ECEC educators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into the school space can be the beginning of building trust and respect in the relationship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>.</w:t>
      </w:r>
    </w:p>
    <w:p w:rsidR="0088381A" w:rsidRPr="00727366" w:rsidRDefault="00EE6CA8" w:rsidP="00727366">
      <w:pPr>
        <w:pStyle w:val="Default"/>
        <w:numPr>
          <w:ilvl w:val="0"/>
          <w:numId w:val="31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It is important to be clear when communicating the purpose of coming together. This will help to ensure all involved understand why they are meeting and mitigate </w:t>
      </w:r>
      <w:r w:rsidR="0088381A" w:rsidRPr="00727366">
        <w:rPr>
          <w:rFonts w:ascii="Arial" w:hAnsi="Arial" w:cs="Arial"/>
          <w:bCs/>
          <w:iCs/>
          <w:sz w:val="18"/>
          <w:szCs w:val="18"/>
        </w:rPr>
        <w:t xml:space="preserve">potential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risk of </w:t>
      </w:r>
      <w:r w:rsidR="0088381A" w:rsidRPr="00727366">
        <w:rPr>
          <w:rFonts w:ascii="Arial" w:hAnsi="Arial" w:cs="Arial"/>
          <w:bCs/>
          <w:iCs/>
          <w:sz w:val="18"/>
          <w:szCs w:val="18"/>
        </w:rPr>
        <w:t>causing anxiety or tension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>.</w:t>
      </w:r>
    </w:p>
    <w:p w:rsidR="00E95428" w:rsidRPr="00727366" w:rsidRDefault="0088381A" w:rsidP="00727366">
      <w:pPr>
        <w:pStyle w:val="Default"/>
        <w:numPr>
          <w:ilvl w:val="0"/>
          <w:numId w:val="31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Communicate that an ongoing relationship is important to the school staff and </w:t>
      </w:r>
      <w:r w:rsidR="00C51617" w:rsidRPr="00727366">
        <w:rPr>
          <w:rFonts w:ascii="Arial" w:hAnsi="Arial" w:cs="Arial"/>
          <w:bCs/>
          <w:iCs/>
          <w:sz w:val="18"/>
          <w:szCs w:val="18"/>
        </w:rPr>
        <w:t>ask for ideas on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how this might work best going forward for everyone involved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>.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EE6CA8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E95428" w:rsidRPr="00727366" w:rsidRDefault="0088381A" w:rsidP="00727366">
      <w:pPr>
        <w:pStyle w:val="Default"/>
        <w:numPr>
          <w:ilvl w:val="0"/>
          <w:numId w:val="31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Be sensitive to any historical interactions </w:t>
      </w:r>
      <w:r w:rsidR="00C51617" w:rsidRPr="00727366">
        <w:rPr>
          <w:rFonts w:ascii="Arial" w:hAnsi="Arial" w:cs="Arial"/>
          <w:bCs/>
          <w:iCs/>
          <w:sz w:val="18"/>
          <w:szCs w:val="18"/>
        </w:rPr>
        <w:t xml:space="preserve">that have occurred previously </w:t>
      </w:r>
      <w:r w:rsidRPr="00727366">
        <w:rPr>
          <w:rFonts w:ascii="Arial" w:hAnsi="Arial" w:cs="Arial"/>
          <w:bCs/>
          <w:iCs/>
          <w:sz w:val="18"/>
          <w:szCs w:val="18"/>
        </w:rPr>
        <w:t>and continue to communicate your purpose and interest in building a strong partnership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>.</w:t>
      </w:r>
    </w:p>
    <w:p w:rsidR="00C51617" w:rsidRPr="001D2D76" w:rsidRDefault="0088381A" w:rsidP="00727366">
      <w:pPr>
        <w:pStyle w:val="Default"/>
        <w:numPr>
          <w:ilvl w:val="0"/>
          <w:numId w:val="31"/>
        </w:numPr>
        <w:spacing w:after="240" w:line="276" w:lineRule="auto"/>
        <w:rPr>
          <w:bCs/>
          <w:i/>
        </w:rPr>
      </w:pPr>
      <w:r w:rsidRPr="00727366">
        <w:rPr>
          <w:rFonts w:ascii="Arial" w:hAnsi="Arial" w:cs="Arial"/>
          <w:bCs/>
          <w:iCs/>
          <w:sz w:val="18"/>
          <w:szCs w:val="18"/>
        </w:rPr>
        <w:t>Together, identify areas of mutual interest that could be discussed in future meetings</w:t>
      </w:r>
      <w:r w:rsidR="00500263" w:rsidRPr="00727366">
        <w:rPr>
          <w:rFonts w:ascii="Arial" w:hAnsi="Arial" w:cs="Arial"/>
          <w:bCs/>
          <w:iCs/>
          <w:sz w:val="18"/>
          <w:szCs w:val="18"/>
        </w:rPr>
        <w:t>, using the conversation s</w:t>
      </w:r>
      <w:r w:rsidR="00F9117D" w:rsidRPr="00727366">
        <w:rPr>
          <w:rFonts w:ascii="Arial" w:hAnsi="Arial" w:cs="Arial"/>
          <w:bCs/>
          <w:iCs/>
          <w:sz w:val="18"/>
          <w:szCs w:val="18"/>
        </w:rPr>
        <w:t>tarters and prompting questions</w:t>
      </w:r>
      <w:r w:rsidR="004E5E6F" w:rsidRPr="00727366">
        <w:rPr>
          <w:rFonts w:ascii="Arial" w:hAnsi="Arial" w:cs="Arial"/>
          <w:bCs/>
          <w:iCs/>
          <w:sz w:val="18"/>
          <w:szCs w:val="18"/>
        </w:rPr>
        <w:t xml:space="preserve"> provided in this document</w:t>
      </w:r>
      <w:r w:rsidR="001C1942" w:rsidRPr="00727366">
        <w:rPr>
          <w:rFonts w:ascii="Arial" w:hAnsi="Arial" w:cs="Arial"/>
          <w:bCs/>
          <w:iCs/>
          <w:sz w:val="18"/>
          <w:szCs w:val="18"/>
        </w:rPr>
        <w:t>.</w:t>
      </w:r>
      <w:r w:rsidRPr="001D2D76">
        <w:rPr>
          <w:bCs/>
          <w:i/>
        </w:rPr>
        <w:t xml:space="preserve"> </w:t>
      </w:r>
    </w:p>
    <w:p w:rsidR="0088381A" w:rsidRPr="00727366" w:rsidRDefault="0088381A" w:rsidP="00727366">
      <w:pPr>
        <w:pStyle w:val="Heading3"/>
        <w:spacing w:before="0" w:after="240"/>
        <w:jc w:val="both"/>
        <w:rPr>
          <w:bCs w:val="0"/>
          <w:iCs/>
          <w:sz w:val="26"/>
          <w:szCs w:val="26"/>
        </w:rPr>
      </w:pPr>
      <w:r w:rsidRPr="00727366">
        <w:rPr>
          <w:bCs w:val="0"/>
          <w:iCs/>
          <w:sz w:val="26"/>
          <w:szCs w:val="26"/>
        </w:rPr>
        <w:lastRenderedPageBreak/>
        <w:t>Action Areas</w:t>
      </w:r>
      <w:r w:rsidR="00D7179D" w:rsidRPr="00727366">
        <w:rPr>
          <w:bCs w:val="0"/>
          <w:iCs/>
          <w:sz w:val="26"/>
          <w:szCs w:val="26"/>
        </w:rPr>
        <w:t xml:space="preserve"> prompting conversations</w:t>
      </w:r>
    </w:p>
    <w:p w:rsidR="006F0582" w:rsidRPr="00727366" w:rsidRDefault="0088381A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The </w:t>
      </w:r>
      <w:hyperlink r:id="rId14" w:history="1">
        <w:r w:rsidRPr="00727366">
          <w:rPr>
            <w:rFonts w:ascii="Arial" w:hAnsi="Arial" w:cs="Arial"/>
            <w:iCs/>
            <w:sz w:val="18"/>
            <w:szCs w:val="18"/>
          </w:rPr>
          <w:t>Supporting successful transitions: School decision-making tool</w:t>
        </w:r>
      </w:hyperlink>
      <w:r w:rsidRPr="00727366">
        <w:rPr>
          <w:rFonts w:ascii="Arial" w:hAnsi="Arial" w:cs="Arial"/>
          <w:bCs/>
          <w:iCs/>
          <w:sz w:val="18"/>
          <w:szCs w:val="18"/>
        </w:rPr>
        <w:t xml:space="preserve"> describes five action areas to assist schools in organising their transition strategies. </w:t>
      </w:r>
      <w:r w:rsidR="009D3DFC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The information provided in Conversation starters is shaped around these five actions areas to prompt collaboration between schools and ECEC educators and support shared thinking and decision-making, with a view to strengthen continuity between settings. </w:t>
      </w:r>
    </w:p>
    <w:p w:rsidR="0087010B" w:rsidRPr="00E60448" w:rsidRDefault="0022733D" w:rsidP="007F3902">
      <w:pPr>
        <w:pStyle w:val="Heading3"/>
        <w:rPr>
          <w:i/>
        </w:rPr>
      </w:pPr>
      <w:r w:rsidRPr="00E60448">
        <w:rPr>
          <w:i/>
        </w:rPr>
        <w:t>Respect for diversity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577F7A" w:rsidRPr="001D2D76" w:rsidTr="009D3DFC">
        <w:tc>
          <w:tcPr>
            <w:tcW w:w="15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577F7A" w:rsidRPr="00E60448" w:rsidRDefault="00993488" w:rsidP="007F390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Conversation starters</w:t>
            </w:r>
          </w:p>
        </w:tc>
        <w:tc>
          <w:tcPr>
            <w:tcW w:w="7716" w:type="dxa"/>
            <w:tcBorders>
              <w:left w:val="single" w:sz="4" w:space="0" w:color="4F81BD" w:themeColor="accent1"/>
            </w:tcBorders>
          </w:tcPr>
          <w:p w:rsidR="006F0582" w:rsidRPr="00E60448" w:rsidRDefault="00344559" w:rsidP="007F390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Demographic profile of local children and families</w:t>
            </w:r>
          </w:p>
          <w:p w:rsidR="006F0582" w:rsidRPr="00E60448" w:rsidRDefault="00344559" w:rsidP="007F390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Findings from</w:t>
            </w:r>
            <w:r w:rsidR="004A1779" w:rsidRPr="00E60448">
              <w:rPr>
                <w:rFonts w:ascii="Arial" w:hAnsi="Arial" w:cs="Arial"/>
                <w:sz w:val="18"/>
              </w:rPr>
              <w:t xml:space="preserve"> research about</w:t>
            </w:r>
            <w:r w:rsidR="00481F65" w:rsidRPr="00E60448">
              <w:rPr>
                <w:rFonts w:ascii="Arial" w:hAnsi="Arial" w:cs="Arial"/>
                <w:sz w:val="18"/>
              </w:rPr>
              <w:t xml:space="preserve"> </w:t>
            </w:r>
            <w:r w:rsidRPr="00E60448">
              <w:rPr>
                <w:rFonts w:ascii="Arial" w:hAnsi="Arial" w:cs="Arial"/>
                <w:sz w:val="18"/>
              </w:rPr>
              <w:t xml:space="preserve">how to respect diversity in transition processes </w:t>
            </w:r>
          </w:p>
          <w:p w:rsidR="00615BD8" w:rsidRPr="00E60448" w:rsidRDefault="00615BD8" w:rsidP="007F3902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Prioritising social and emotional wellbeing </w:t>
            </w:r>
            <w:r w:rsidR="00B617DE" w:rsidRPr="00E60448">
              <w:rPr>
                <w:rFonts w:ascii="Arial" w:hAnsi="Arial" w:cs="Arial"/>
                <w:sz w:val="18"/>
              </w:rPr>
              <w:t>in the transition process</w:t>
            </w:r>
          </w:p>
          <w:p w:rsidR="00A565ED" w:rsidRPr="00E60448" w:rsidRDefault="00577F7A" w:rsidP="007F3902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Strategies that have been effective with </w:t>
            </w:r>
            <w:r w:rsidR="00615BD8" w:rsidRPr="00E60448">
              <w:rPr>
                <w:rFonts w:ascii="Arial" w:hAnsi="Arial" w:cs="Arial"/>
                <w:sz w:val="18"/>
              </w:rPr>
              <w:t>specific</w:t>
            </w:r>
            <w:r w:rsidRPr="00E60448">
              <w:rPr>
                <w:rFonts w:ascii="Arial" w:hAnsi="Arial" w:cs="Arial"/>
                <w:sz w:val="18"/>
              </w:rPr>
              <w:t xml:space="preserve"> cultural groups or </w:t>
            </w:r>
            <w:r w:rsidR="00615BD8" w:rsidRPr="00E60448">
              <w:rPr>
                <w:rFonts w:ascii="Arial" w:hAnsi="Arial" w:cs="Arial"/>
                <w:sz w:val="18"/>
              </w:rPr>
              <w:t>individual</w:t>
            </w:r>
            <w:r w:rsidRPr="00E60448">
              <w:rPr>
                <w:rFonts w:ascii="Arial" w:hAnsi="Arial" w:cs="Arial"/>
                <w:sz w:val="18"/>
              </w:rPr>
              <w:t xml:space="preserve"> families</w:t>
            </w:r>
          </w:p>
          <w:p w:rsidR="009D74C5" w:rsidRPr="00E60448" w:rsidRDefault="009D74C5" w:rsidP="007F3902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Sharing general  knowledge and expertise gained from interactions with families in the local community</w:t>
            </w:r>
          </w:p>
        </w:tc>
      </w:tr>
      <w:tr w:rsidR="00577F7A" w:rsidRPr="001D2D76" w:rsidTr="009D3DFC">
        <w:tc>
          <w:tcPr>
            <w:tcW w:w="15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577F7A" w:rsidRPr="00E60448" w:rsidRDefault="00577F7A" w:rsidP="007F390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Prompting questions</w:t>
            </w:r>
          </w:p>
        </w:tc>
        <w:tc>
          <w:tcPr>
            <w:tcW w:w="7716" w:type="dxa"/>
            <w:tcBorders>
              <w:left w:val="single" w:sz="4" w:space="0" w:color="4F81BD" w:themeColor="accent1"/>
            </w:tcBorders>
          </w:tcPr>
          <w:p w:rsidR="00577F7A" w:rsidRPr="00E60448" w:rsidRDefault="00E62AD6" w:rsidP="007F390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How can we </w:t>
            </w:r>
            <w:r w:rsidR="00A565ED" w:rsidRPr="00E60448">
              <w:rPr>
                <w:rFonts w:ascii="Arial" w:hAnsi="Arial" w:cs="Arial"/>
                <w:sz w:val="18"/>
              </w:rPr>
              <w:t>share</w:t>
            </w:r>
            <w:r w:rsidRPr="00E60448">
              <w:rPr>
                <w:rFonts w:ascii="Arial" w:hAnsi="Arial" w:cs="Arial"/>
                <w:sz w:val="18"/>
              </w:rPr>
              <w:t xml:space="preserve"> knowledge to better communicate with </w:t>
            </w:r>
            <w:r w:rsidR="00D8528C" w:rsidRPr="00E60448">
              <w:rPr>
                <w:rFonts w:ascii="Arial" w:hAnsi="Arial" w:cs="Arial"/>
                <w:sz w:val="18"/>
              </w:rPr>
              <w:t>local families?</w:t>
            </w:r>
          </w:p>
          <w:p w:rsidR="00300FDE" w:rsidRPr="00E60448" w:rsidRDefault="00300FDE" w:rsidP="007F390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What research is available to learn more about inclusivity in transition processes?</w:t>
            </w:r>
          </w:p>
          <w:p w:rsidR="00AA5CD7" w:rsidRPr="00E60448" w:rsidRDefault="00AA5CD7" w:rsidP="007F390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</w:t>
            </w:r>
            <w:r w:rsidR="00D8528C" w:rsidRPr="00E60448">
              <w:rPr>
                <w:rFonts w:ascii="Arial" w:hAnsi="Arial" w:cs="Arial"/>
                <w:sz w:val="18"/>
              </w:rPr>
              <w:t>is the range</w:t>
            </w:r>
            <w:r w:rsidRPr="00E60448">
              <w:rPr>
                <w:rFonts w:ascii="Arial" w:hAnsi="Arial" w:cs="Arial"/>
                <w:sz w:val="18"/>
              </w:rPr>
              <w:t xml:space="preserve"> of cultural backgrounds of families accessing your service?</w:t>
            </w:r>
          </w:p>
          <w:p w:rsidR="00AA5CD7" w:rsidRPr="00E60448" w:rsidRDefault="00AA5CD7" w:rsidP="007F390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How can</w:t>
            </w:r>
            <w:r w:rsidR="009D74C5" w:rsidRPr="00E60448">
              <w:rPr>
                <w:rFonts w:ascii="Arial" w:hAnsi="Arial" w:cs="Arial"/>
                <w:sz w:val="18"/>
              </w:rPr>
              <w:t xml:space="preserve"> we</w:t>
            </w:r>
            <w:r w:rsidRPr="00E60448">
              <w:rPr>
                <w:rFonts w:ascii="Arial" w:hAnsi="Arial" w:cs="Arial"/>
                <w:sz w:val="18"/>
              </w:rPr>
              <w:t xml:space="preserve"> encourage </w:t>
            </w:r>
            <w:r w:rsidR="00D8528C" w:rsidRPr="00E60448">
              <w:rPr>
                <w:rFonts w:ascii="Arial" w:hAnsi="Arial" w:cs="Arial"/>
                <w:sz w:val="18"/>
              </w:rPr>
              <w:t>the</w:t>
            </w:r>
            <w:r w:rsidRPr="00E60448">
              <w:rPr>
                <w:rFonts w:ascii="Arial" w:hAnsi="Arial" w:cs="Arial"/>
                <w:sz w:val="18"/>
              </w:rPr>
              <w:t xml:space="preserve"> participation</w:t>
            </w:r>
            <w:r w:rsidR="00D8528C" w:rsidRPr="00E60448">
              <w:rPr>
                <w:rFonts w:ascii="Arial" w:hAnsi="Arial" w:cs="Arial"/>
                <w:sz w:val="18"/>
              </w:rPr>
              <w:t xml:space="preserve"> of children and families who </w:t>
            </w:r>
            <w:r w:rsidR="002811EF" w:rsidRPr="00E60448">
              <w:rPr>
                <w:rFonts w:ascii="Arial" w:hAnsi="Arial" w:cs="Arial"/>
                <w:sz w:val="18"/>
              </w:rPr>
              <w:t>are not</w:t>
            </w:r>
            <w:r w:rsidR="00D8528C" w:rsidRPr="00E60448">
              <w:rPr>
                <w:rFonts w:ascii="Arial" w:hAnsi="Arial" w:cs="Arial"/>
                <w:sz w:val="18"/>
              </w:rPr>
              <w:t xml:space="preserve"> accessing any educational setting</w:t>
            </w:r>
            <w:r w:rsidRPr="00E60448">
              <w:rPr>
                <w:rFonts w:ascii="Arial" w:hAnsi="Arial" w:cs="Arial"/>
                <w:sz w:val="18"/>
              </w:rPr>
              <w:t>?</w:t>
            </w:r>
          </w:p>
          <w:p w:rsidR="00E62AD6" w:rsidRPr="00E60448" w:rsidRDefault="00E62AD6" w:rsidP="007F390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Are there any local services </w:t>
            </w:r>
            <w:r w:rsidR="003F65D5" w:rsidRPr="00E60448">
              <w:rPr>
                <w:rFonts w:ascii="Arial" w:hAnsi="Arial" w:cs="Arial"/>
                <w:sz w:val="18"/>
              </w:rPr>
              <w:t>that</w:t>
            </w:r>
            <w:r w:rsidRPr="00E60448">
              <w:rPr>
                <w:rFonts w:ascii="Arial" w:hAnsi="Arial" w:cs="Arial"/>
                <w:sz w:val="18"/>
              </w:rPr>
              <w:t xml:space="preserve"> can support our interactions with the families living in the community?</w:t>
            </w:r>
          </w:p>
          <w:p w:rsidR="00B860F6" w:rsidRPr="00E60448" w:rsidRDefault="00B860F6" w:rsidP="007F390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What do children think and feel about the transition to school? How can we use their thinking to guide our transition processes and strategies?</w:t>
            </w:r>
          </w:p>
        </w:tc>
      </w:tr>
    </w:tbl>
    <w:p w:rsidR="00577F7A" w:rsidRPr="00E60448" w:rsidRDefault="00577F7A" w:rsidP="007F3902">
      <w:pPr>
        <w:pStyle w:val="Heading3"/>
        <w:rPr>
          <w:i/>
        </w:rPr>
      </w:pPr>
      <w:r w:rsidRPr="00E60448">
        <w:rPr>
          <w:i/>
        </w:rPr>
        <w:t>Effective use of data</w:t>
      </w:r>
    </w:p>
    <w:tbl>
      <w:tblPr>
        <w:tblStyle w:val="TableGrid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577F7A" w:rsidRPr="001D2D76" w:rsidTr="009D3DFC"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577F7A" w:rsidRPr="001D2D76" w:rsidRDefault="00993488" w:rsidP="007F3902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Conversation starters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65D5" w:rsidRPr="00E60448" w:rsidRDefault="003F65D5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Understanding where children in our community are transitioning from </w:t>
            </w:r>
          </w:p>
          <w:p w:rsidR="0065142A" w:rsidRPr="00E60448" w:rsidRDefault="00E62AD6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Identifying data sources, e.g. </w:t>
            </w:r>
            <w:r w:rsidR="009D74C5" w:rsidRPr="00E60448">
              <w:rPr>
                <w:rFonts w:ascii="Arial" w:hAnsi="Arial" w:cs="Arial"/>
                <w:sz w:val="18"/>
              </w:rPr>
              <w:t>Early Childhood</w:t>
            </w:r>
            <w:r w:rsidR="00F9117D" w:rsidRPr="00E60448">
              <w:rPr>
                <w:rFonts w:ascii="Arial" w:hAnsi="Arial" w:cs="Arial"/>
                <w:sz w:val="18"/>
              </w:rPr>
              <w:t xml:space="preserve"> school data profile, </w:t>
            </w:r>
            <w:r w:rsidRPr="00E60448">
              <w:rPr>
                <w:rFonts w:ascii="Arial" w:hAnsi="Arial" w:cs="Arial"/>
                <w:sz w:val="18"/>
              </w:rPr>
              <w:t>ABS, AEDC, Transition Statements</w:t>
            </w:r>
          </w:p>
          <w:p w:rsidR="00577F7A" w:rsidRPr="001D2D76" w:rsidRDefault="00E62AD6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</w:pPr>
            <w:r w:rsidRPr="00E60448">
              <w:rPr>
                <w:rFonts w:ascii="Arial" w:hAnsi="Arial" w:cs="Arial"/>
                <w:sz w:val="18"/>
              </w:rPr>
              <w:t>Und</w:t>
            </w:r>
            <w:r w:rsidR="00F9117D" w:rsidRPr="00E60448">
              <w:rPr>
                <w:rFonts w:ascii="Arial" w:hAnsi="Arial" w:cs="Arial"/>
                <w:sz w:val="18"/>
              </w:rPr>
              <w:t>erstanding and u</w:t>
            </w:r>
            <w:r w:rsidRPr="00E60448">
              <w:rPr>
                <w:rFonts w:ascii="Arial" w:hAnsi="Arial" w:cs="Arial"/>
                <w:sz w:val="18"/>
              </w:rPr>
              <w:t xml:space="preserve">sing </w:t>
            </w:r>
            <w:r w:rsidR="009D74C5" w:rsidRPr="00E60448">
              <w:rPr>
                <w:rFonts w:ascii="Arial" w:hAnsi="Arial" w:cs="Arial"/>
                <w:sz w:val="18"/>
              </w:rPr>
              <w:t>local</w:t>
            </w:r>
            <w:r w:rsidRPr="00E60448">
              <w:rPr>
                <w:rFonts w:ascii="Arial" w:hAnsi="Arial" w:cs="Arial"/>
                <w:sz w:val="18"/>
              </w:rPr>
              <w:t xml:space="preserve"> data</w:t>
            </w:r>
          </w:p>
        </w:tc>
      </w:tr>
      <w:tr w:rsidR="00577F7A" w:rsidRPr="001D2D76" w:rsidTr="009D3DFC"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577F7A" w:rsidRPr="001D2D76" w:rsidRDefault="00577F7A" w:rsidP="007F3902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Prompting questions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62AD6" w:rsidRPr="00E60448" w:rsidRDefault="00E62AD6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What</w:t>
            </w:r>
            <w:r w:rsidR="0065142A" w:rsidRPr="00E60448">
              <w:rPr>
                <w:rFonts w:ascii="Arial" w:hAnsi="Arial" w:cs="Arial"/>
                <w:sz w:val="18"/>
              </w:rPr>
              <w:t xml:space="preserve"> data </w:t>
            </w:r>
            <w:r w:rsidRPr="00E60448">
              <w:rPr>
                <w:rFonts w:ascii="Arial" w:hAnsi="Arial" w:cs="Arial"/>
                <w:sz w:val="18"/>
              </w:rPr>
              <w:t xml:space="preserve">is available </w:t>
            </w:r>
            <w:r w:rsidR="0065142A" w:rsidRPr="00E60448">
              <w:rPr>
                <w:rFonts w:ascii="Arial" w:hAnsi="Arial" w:cs="Arial"/>
                <w:sz w:val="18"/>
              </w:rPr>
              <w:t xml:space="preserve">that can support </w:t>
            </w:r>
            <w:r w:rsidRPr="00E60448">
              <w:rPr>
                <w:rFonts w:ascii="Arial" w:hAnsi="Arial" w:cs="Arial"/>
                <w:sz w:val="18"/>
              </w:rPr>
              <w:t xml:space="preserve">our </w:t>
            </w:r>
            <w:r w:rsidR="009D74C5" w:rsidRPr="00E60448">
              <w:rPr>
                <w:rFonts w:ascii="Arial" w:hAnsi="Arial" w:cs="Arial"/>
                <w:sz w:val="18"/>
              </w:rPr>
              <w:t xml:space="preserve">collaborative </w:t>
            </w:r>
            <w:r w:rsidR="0065142A" w:rsidRPr="00E60448">
              <w:rPr>
                <w:rFonts w:ascii="Arial" w:hAnsi="Arial" w:cs="Arial"/>
                <w:sz w:val="18"/>
              </w:rPr>
              <w:t>planning</w:t>
            </w:r>
            <w:r w:rsidR="00900C0E" w:rsidRPr="00E60448">
              <w:rPr>
                <w:rFonts w:ascii="Arial" w:hAnsi="Arial" w:cs="Arial"/>
                <w:sz w:val="18"/>
              </w:rPr>
              <w:t>?</w:t>
            </w:r>
          </w:p>
          <w:p w:rsidR="0065142A" w:rsidRPr="00E60448" w:rsidRDefault="002811EF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How can</w:t>
            </w:r>
            <w:r w:rsidR="0065142A" w:rsidRPr="00E60448">
              <w:rPr>
                <w:rFonts w:ascii="Arial" w:hAnsi="Arial" w:cs="Arial"/>
                <w:sz w:val="18"/>
              </w:rPr>
              <w:t xml:space="preserve"> we </w:t>
            </w:r>
            <w:r w:rsidR="00E62AD6" w:rsidRPr="00E60448">
              <w:rPr>
                <w:rFonts w:ascii="Arial" w:hAnsi="Arial" w:cs="Arial"/>
                <w:sz w:val="18"/>
              </w:rPr>
              <w:t>share</w:t>
            </w:r>
            <w:r w:rsidR="0065142A" w:rsidRPr="00E60448">
              <w:rPr>
                <w:rFonts w:ascii="Arial" w:hAnsi="Arial" w:cs="Arial"/>
                <w:sz w:val="18"/>
              </w:rPr>
              <w:t xml:space="preserve"> knowledge to gain further insight </w:t>
            </w:r>
            <w:r w:rsidR="00300FDE" w:rsidRPr="00E60448">
              <w:rPr>
                <w:rFonts w:ascii="Arial" w:hAnsi="Arial" w:cs="Arial"/>
                <w:sz w:val="18"/>
              </w:rPr>
              <w:t>into</w:t>
            </w:r>
            <w:r w:rsidR="0065142A" w:rsidRPr="00E60448">
              <w:rPr>
                <w:rFonts w:ascii="Arial" w:hAnsi="Arial" w:cs="Arial"/>
                <w:sz w:val="18"/>
              </w:rPr>
              <w:t xml:space="preserve"> our </w:t>
            </w:r>
            <w:r w:rsidR="00300FDE" w:rsidRPr="00E60448">
              <w:rPr>
                <w:rFonts w:ascii="Arial" w:hAnsi="Arial" w:cs="Arial"/>
                <w:sz w:val="18"/>
              </w:rPr>
              <w:t xml:space="preserve">unique </w:t>
            </w:r>
            <w:r w:rsidR="0065142A" w:rsidRPr="00E60448">
              <w:rPr>
                <w:rFonts w:ascii="Arial" w:hAnsi="Arial" w:cs="Arial"/>
                <w:sz w:val="18"/>
              </w:rPr>
              <w:t>community?</w:t>
            </w:r>
          </w:p>
          <w:p w:rsidR="00D8528C" w:rsidRPr="00E60448" w:rsidRDefault="00D8528C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does the data tell us about children and families who </w:t>
            </w:r>
            <w:r w:rsidR="002811EF" w:rsidRPr="00E60448">
              <w:rPr>
                <w:rFonts w:ascii="Arial" w:hAnsi="Arial" w:cs="Arial"/>
                <w:sz w:val="18"/>
              </w:rPr>
              <w:t>are not</w:t>
            </w:r>
            <w:r w:rsidRPr="00E60448">
              <w:rPr>
                <w:rFonts w:ascii="Arial" w:hAnsi="Arial" w:cs="Arial"/>
                <w:sz w:val="18"/>
              </w:rPr>
              <w:t xml:space="preserve"> accessing any educational setting in our community? </w:t>
            </w:r>
          </w:p>
          <w:p w:rsidR="005F6C7C" w:rsidRPr="00E60448" w:rsidRDefault="005F6C7C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information can we share to best support children in their transition to school? </w:t>
            </w:r>
          </w:p>
          <w:p w:rsidR="005F6C7C" w:rsidRPr="00E60448" w:rsidRDefault="005F6C7C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What can we learn from ECEC educators to build strong relationships with children and families before they start Prep?</w:t>
            </w:r>
          </w:p>
          <w:p w:rsidR="0065142A" w:rsidRPr="00E60448" w:rsidRDefault="002811EF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H</w:t>
            </w:r>
            <w:r w:rsidR="0065142A" w:rsidRPr="00E60448">
              <w:rPr>
                <w:rFonts w:ascii="Arial" w:hAnsi="Arial" w:cs="Arial"/>
                <w:sz w:val="18"/>
              </w:rPr>
              <w:t xml:space="preserve">ow </w:t>
            </w:r>
            <w:r w:rsidR="00E62AD6" w:rsidRPr="00E60448">
              <w:rPr>
                <w:rFonts w:ascii="Arial" w:hAnsi="Arial" w:cs="Arial"/>
                <w:sz w:val="18"/>
              </w:rPr>
              <w:t>can</w:t>
            </w:r>
            <w:r w:rsidR="0065142A" w:rsidRPr="00E60448">
              <w:rPr>
                <w:rFonts w:ascii="Arial" w:hAnsi="Arial" w:cs="Arial"/>
                <w:sz w:val="18"/>
              </w:rPr>
              <w:t xml:space="preserve"> we support the process</w:t>
            </w:r>
            <w:r w:rsidRPr="00E60448">
              <w:rPr>
                <w:rFonts w:ascii="Arial" w:hAnsi="Arial" w:cs="Arial"/>
                <w:sz w:val="18"/>
              </w:rPr>
              <w:t xml:space="preserve"> of </w:t>
            </w:r>
            <w:r w:rsidR="005F6C7C" w:rsidRPr="00E60448">
              <w:rPr>
                <w:rFonts w:ascii="Arial" w:hAnsi="Arial" w:cs="Arial"/>
                <w:sz w:val="18"/>
              </w:rPr>
              <w:t xml:space="preserve">families </w:t>
            </w:r>
            <w:r w:rsidRPr="00E60448">
              <w:rPr>
                <w:rFonts w:ascii="Arial" w:hAnsi="Arial" w:cs="Arial"/>
                <w:sz w:val="18"/>
              </w:rPr>
              <w:t>sharing Transition Statements</w:t>
            </w:r>
            <w:r w:rsidR="0065142A" w:rsidRPr="00E60448">
              <w:rPr>
                <w:rFonts w:ascii="Arial" w:hAnsi="Arial" w:cs="Arial"/>
                <w:sz w:val="18"/>
              </w:rPr>
              <w:t>?</w:t>
            </w:r>
          </w:p>
          <w:p w:rsidR="00E62AD6" w:rsidRPr="00E60448" w:rsidRDefault="00E62AD6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Given the data, w</w:t>
            </w:r>
            <w:r w:rsidR="0065142A" w:rsidRPr="00E60448">
              <w:rPr>
                <w:rFonts w:ascii="Arial" w:hAnsi="Arial" w:cs="Arial"/>
                <w:sz w:val="18"/>
              </w:rPr>
              <w:t xml:space="preserve">hat actions do we need to take for our community? </w:t>
            </w:r>
          </w:p>
          <w:p w:rsidR="00577F7A" w:rsidRPr="001D2D76" w:rsidRDefault="0065142A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</w:pPr>
            <w:r w:rsidRPr="00E60448">
              <w:rPr>
                <w:rFonts w:ascii="Arial" w:hAnsi="Arial" w:cs="Arial"/>
                <w:sz w:val="18"/>
              </w:rPr>
              <w:t>Are there any other community partners who can help deepen the knowledge around areas of vulnerability</w:t>
            </w:r>
            <w:r w:rsidR="00166067" w:rsidRPr="00E60448">
              <w:rPr>
                <w:rFonts w:ascii="Arial" w:hAnsi="Arial" w:cs="Arial"/>
                <w:sz w:val="18"/>
              </w:rPr>
              <w:t xml:space="preserve"> identified in the data</w:t>
            </w:r>
            <w:r w:rsidRPr="00E60448">
              <w:rPr>
                <w:rFonts w:ascii="Arial" w:hAnsi="Arial" w:cs="Arial"/>
                <w:sz w:val="18"/>
              </w:rPr>
              <w:t>?</w:t>
            </w:r>
          </w:p>
        </w:tc>
      </w:tr>
    </w:tbl>
    <w:p w:rsidR="00577F7A" w:rsidRPr="00E60448" w:rsidRDefault="0065142A" w:rsidP="007F3902">
      <w:pPr>
        <w:pStyle w:val="Heading3"/>
        <w:rPr>
          <w:i/>
        </w:rPr>
      </w:pPr>
      <w:r w:rsidRPr="00E60448">
        <w:rPr>
          <w:i/>
        </w:rPr>
        <w:t>Responsive environments</w:t>
      </w: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65142A" w:rsidRPr="001D2D76" w:rsidTr="009D3DFC"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65142A" w:rsidRPr="00E60448" w:rsidRDefault="00993488" w:rsidP="007F390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Conversation starters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5142A" w:rsidRPr="00E60448" w:rsidRDefault="0065142A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Streamlining the transition process from </w:t>
            </w:r>
            <w:r w:rsidR="00D03A99" w:rsidRPr="00E60448">
              <w:rPr>
                <w:rFonts w:ascii="Arial" w:hAnsi="Arial" w:cs="Arial"/>
                <w:sz w:val="18"/>
              </w:rPr>
              <w:t xml:space="preserve">multiple ECEC services </w:t>
            </w:r>
            <w:r w:rsidRPr="00E60448">
              <w:rPr>
                <w:rFonts w:ascii="Arial" w:hAnsi="Arial" w:cs="Arial"/>
                <w:sz w:val="18"/>
              </w:rPr>
              <w:t xml:space="preserve">to </w:t>
            </w:r>
            <w:r w:rsidR="00D03A99" w:rsidRPr="00E60448">
              <w:rPr>
                <w:rFonts w:ascii="Arial" w:hAnsi="Arial" w:cs="Arial"/>
                <w:sz w:val="18"/>
              </w:rPr>
              <w:t>school</w:t>
            </w:r>
          </w:p>
          <w:p w:rsidR="0065142A" w:rsidRPr="00E60448" w:rsidRDefault="00146BCD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Effective environments in the early years (0-8)</w:t>
            </w:r>
          </w:p>
          <w:p w:rsidR="00146BCD" w:rsidRPr="00E60448" w:rsidRDefault="009D74C5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Being responsive to</w:t>
            </w:r>
            <w:r w:rsidR="00146BCD" w:rsidRPr="00E60448">
              <w:rPr>
                <w:rFonts w:ascii="Arial" w:hAnsi="Arial" w:cs="Arial"/>
                <w:sz w:val="18"/>
              </w:rPr>
              <w:t xml:space="preserve"> family knowledge</w:t>
            </w:r>
          </w:p>
        </w:tc>
      </w:tr>
      <w:tr w:rsidR="0065142A" w:rsidRPr="001D2D76" w:rsidTr="009D3DFC"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65142A" w:rsidRPr="00E60448" w:rsidRDefault="0065142A" w:rsidP="007F390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Prompting questions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5142A" w:rsidRPr="00E60448" w:rsidRDefault="0065142A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How can our </w:t>
            </w:r>
            <w:r w:rsidR="00146BCD" w:rsidRPr="00E60448">
              <w:rPr>
                <w:rFonts w:ascii="Arial" w:hAnsi="Arial" w:cs="Arial"/>
                <w:sz w:val="18"/>
              </w:rPr>
              <w:t xml:space="preserve">transition </w:t>
            </w:r>
            <w:r w:rsidRPr="00E60448">
              <w:rPr>
                <w:rFonts w:ascii="Arial" w:hAnsi="Arial" w:cs="Arial"/>
                <w:sz w:val="18"/>
              </w:rPr>
              <w:t>processes be more inclusive or individually tailored</w:t>
            </w:r>
            <w:r w:rsidR="00146BCD" w:rsidRPr="00E60448">
              <w:rPr>
                <w:rFonts w:ascii="Arial" w:hAnsi="Arial" w:cs="Arial"/>
                <w:sz w:val="18"/>
              </w:rPr>
              <w:t>?</w:t>
            </w:r>
          </w:p>
          <w:p w:rsidR="0065142A" w:rsidRPr="00E60448" w:rsidRDefault="00146BCD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What changes can we make to better support children in the transition period to feel more comfortable in their new environment?</w:t>
            </w:r>
          </w:p>
          <w:p w:rsidR="00146BCD" w:rsidRPr="00E60448" w:rsidRDefault="00146BCD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How can we all </w:t>
            </w:r>
            <w:r w:rsidR="00166067" w:rsidRPr="00E60448">
              <w:rPr>
                <w:rFonts w:ascii="Arial" w:hAnsi="Arial" w:cs="Arial"/>
                <w:sz w:val="18"/>
              </w:rPr>
              <w:t xml:space="preserve">more effectively </w:t>
            </w:r>
            <w:r w:rsidRPr="00E60448">
              <w:rPr>
                <w:rFonts w:ascii="Arial" w:hAnsi="Arial" w:cs="Arial"/>
                <w:sz w:val="18"/>
              </w:rPr>
              <w:t xml:space="preserve">work </w:t>
            </w:r>
            <w:r w:rsidR="00166067" w:rsidRPr="00E60448">
              <w:rPr>
                <w:rFonts w:ascii="Arial" w:hAnsi="Arial" w:cs="Arial"/>
                <w:sz w:val="18"/>
              </w:rPr>
              <w:t xml:space="preserve">alongside </w:t>
            </w:r>
            <w:r w:rsidRPr="00E60448">
              <w:rPr>
                <w:rFonts w:ascii="Arial" w:hAnsi="Arial" w:cs="Arial"/>
                <w:sz w:val="18"/>
              </w:rPr>
              <w:t>families to support the continuity between home and educational settings?</w:t>
            </w:r>
          </w:p>
          <w:p w:rsidR="00146BCD" w:rsidRPr="00E60448" w:rsidRDefault="00146BCD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How can we learn from each other to better support </w:t>
            </w:r>
            <w:r w:rsidR="00D03A99" w:rsidRPr="00E60448">
              <w:rPr>
                <w:rFonts w:ascii="Arial" w:hAnsi="Arial" w:cs="Arial"/>
                <w:sz w:val="18"/>
              </w:rPr>
              <w:t>the</w:t>
            </w:r>
            <w:r w:rsidRPr="00E60448">
              <w:rPr>
                <w:rFonts w:ascii="Arial" w:hAnsi="Arial" w:cs="Arial"/>
                <w:sz w:val="18"/>
              </w:rPr>
              <w:t xml:space="preserve"> children</w:t>
            </w:r>
            <w:r w:rsidR="00D03A99" w:rsidRPr="00E60448">
              <w:rPr>
                <w:rFonts w:ascii="Arial" w:hAnsi="Arial" w:cs="Arial"/>
                <w:sz w:val="18"/>
              </w:rPr>
              <w:t xml:space="preserve"> in our community</w:t>
            </w:r>
            <w:r w:rsidRPr="00E60448">
              <w:rPr>
                <w:rFonts w:ascii="Arial" w:hAnsi="Arial" w:cs="Arial"/>
                <w:sz w:val="18"/>
              </w:rPr>
              <w:t>?</w:t>
            </w:r>
          </w:p>
        </w:tc>
      </w:tr>
    </w:tbl>
    <w:p w:rsidR="00211FE8" w:rsidRDefault="00211FE8" w:rsidP="007F3902">
      <w:pPr>
        <w:pStyle w:val="Heading3"/>
        <w:rPr>
          <w:i/>
        </w:rPr>
      </w:pPr>
    </w:p>
    <w:p w:rsidR="0065142A" w:rsidRPr="00E60448" w:rsidRDefault="00211FE8" w:rsidP="007F3902">
      <w:pPr>
        <w:pStyle w:val="Heading3"/>
        <w:rPr>
          <w:i/>
        </w:rPr>
      </w:pPr>
      <w:r>
        <w:rPr>
          <w:i/>
        </w:rPr>
        <w:t>E</w:t>
      </w:r>
      <w:r w:rsidR="0065142A" w:rsidRPr="00E60448">
        <w:rPr>
          <w:i/>
        </w:rPr>
        <w:t>ffective pedagogy and practice</w:t>
      </w:r>
    </w:p>
    <w:tbl>
      <w:tblPr>
        <w:tblStyle w:val="TableGrid"/>
        <w:tblW w:w="0" w:type="auto"/>
        <w:tblBorders>
          <w:top w:val="single" w:sz="4" w:space="0" w:color="7ABC32"/>
          <w:left w:val="single" w:sz="4" w:space="0" w:color="7ABC32"/>
          <w:bottom w:val="single" w:sz="4" w:space="0" w:color="7ABC32"/>
          <w:right w:val="single" w:sz="4" w:space="0" w:color="7ABC32"/>
          <w:insideH w:val="single" w:sz="4" w:space="0" w:color="7ABC32"/>
          <w:insideV w:val="single" w:sz="4" w:space="0" w:color="7ABC32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0165F7" w:rsidRPr="001D2D76" w:rsidTr="009D3DFC"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0165F7" w:rsidRPr="001D2D76" w:rsidRDefault="00993488" w:rsidP="007F3902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Conversation starters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Philosophy of the service/school</w:t>
            </w:r>
            <w:r w:rsidR="007A6D2E" w:rsidRPr="00E60448">
              <w:rPr>
                <w:rFonts w:ascii="Arial" w:hAnsi="Arial" w:cs="Arial"/>
                <w:sz w:val="18"/>
              </w:rPr>
              <w:t xml:space="preserve"> </w:t>
            </w:r>
          </w:p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Curriculum </w:t>
            </w:r>
            <w:r w:rsidR="00146BCD" w:rsidRPr="00E60448">
              <w:rPr>
                <w:rFonts w:ascii="Arial" w:hAnsi="Arial" w:cs="Arial"/>
                <w:sz w:val="18"/>
              </w:rPr>
              <w:t>comparisons and discussions</w:t>
            </w:r>
          </w:p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Range </w:t>
            </w:r>
            <w:r w:rsidR="00146BCD" w:rsidRPr="00E60448">
              <w:rPr>
                <w:rFonts w:ascii="Arial" w:hAnsi="Arial" w:cs="Arial"/>
                <w:sz w:val="18"/>
              </w:rPr>
              <w:t xml:space="preserve">and balance </w:t>
            </w:r>
            <w:r w:rsidRPr="00E60448">
              <w:rPr>
                <w:rFonts w:ascii="Arial" w:hAnsi="Arial" w:cs="Arial"/>
                <w:sz w:val="18"/>
              </w:rPr>
              <w:t xml:space="preserve">of pedagogies </w:t>
            </w:r>
          </w:p>
          <w:p w:rsidR="000165F7" w:rsidRPr="00E60448" w:rsidRDefault="009D3DFC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A</w:t>
            </w:r>
            <w:r w:rsidR="000165F7" w:rsidRPr="00E60448">
              <w:rPr>
                <w:rFonts w:ascii="Arial" w:hAnsi="Arial" w:cs="Arial"/>
                <w:sz w:val="18"/>
              </w:rPr>
              <w:t xml:space="preserve"> </w:t>
            </w:r>
            <w:r w:rsidR="00325CB7" w:rsidRPr="00E60448">
              <w:rPr>
                <w:rFonts w:ascii="Arial" w:hAnsi="Arial" w:cs="Arial"/>
                <w:sz w:val="18"/>
              </w:rPr>
              <w:t>community and holistic</w:t>
            </w:r>
            <w:r w:rsidR="000165F7" w:rsidRPr="00E60448">
              <w:rPr>
                <w:rFonts w:ascii="Arial" w:hAnsi="Arial" w:cs="Arial"/>
                <w:sz w:val="18"/>
              </w:rPr>
              <w:t xml:space="preserve"> approach to school readiness</w:t>
            </w:r>
          </w:p>
          <w:p w:rsidR="00146BCD" w:rsidRPr="00E60448" w:rsidRDefault="00B860F6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Sharing current strategies to support transitions</w:t>
            </w:r>
          </w:p>
        </w:tc>
      </w:tr>
      <w:tr w:rsidR="000165F7" w:rsidRPr="001D2D76" w:rsidTr="009D3DFC"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0165F7" w:rsidRPr="001D2D76" w:rsidRDefault="000165F7" w:rsidP="007F3902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Prompting questions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C5E3E" w:rsidRPr="00E60448" w:rsidRDefault="000C5E3E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can we learn from each other about the curriculum and pedagogy </w:t>
            </w:r>
            <w:r w:rsidR="00325CB7" w:rsidRPr="00E60448">
              <w:rPr>
                <w:rFonts w:ascii="Arial" w:hAnsi="Arial" w:cs="Arial"/>
                <w:sz w:val="18"/>
              </w:rPr>
              <w:t>implemented</w:t>
            </w:r>
            <w:r w:rsidRPr="00E60448">
              <w:rPr>
                <w:rFonts w:ascii="Arial" w:hAnsi="Arial" w:cs="Arial"/>
                <w:sz w:val="18"/>
              </w:rPr>
              <w:t xml:space="preserve"> in our </w:t>
            </w:r>
            <w:r w:rsidR="00325CB7" w:rsidRPr="00E60448">
              <w:rPr>
                <w:rFonts w:ascii="Arial" w:hAnsi="Arial" w:cs="Arial"/>
                <w:sz w:val="18"/>
              </w:rPr>
              <w:t>diverse</w:t>
            </w:r>
            <w:r w:rsidRPr="00E60448">
              <w:rPr>
                <w:rFonts w:ascii="Arial" w:hAnsi="Arial" w:cs="Arial"/>
                <w:sz w:val="18"/>
              </w:rPr>
              <w:t xml:space="preserve"> settings?</w:t>
            </w:r>
          </w:p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How can we provide </w:t>
            </w:r>
            <w:r w:rsidR="00B860F6" w:rsidRPr="00E60448">
              <w:rPr>
                <w:rFonts w:ascii="Arial" w:hAnsi="Arial" w:cs="Arial"/>
                <w:sz w:val="18"/>
              </w:rPr>
              <w:t>stronger</w:t>
            </w:r>
            <w:r w:rsidRPr="00E60448">
              <w:rPr>
                <w:rFonts w:ascii="Arial" w:hAnsi="Arial" w:cs="Arial"/>
                <w:sz w:val="18"/>
              </w:rPr>
              <w:t xml:space="preserve"> continuity</w:t>
            </w:r>
            <w:r w:rsidR="00116AC0" w:rsidRPr="00E60448">
              <w:rPr>
                <w:rFonts w:ascii="Arial" w:hAnsi="Arial" w:cs="Arial"/>
                <w:sz w:val="18"/>
              </w:rPr>
              <w:t xml:space="preserve"> as children transition?</w:t>
            </w:r>
          </w:p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strategies do </w:t>
            </w:r>
            <w:r w:rsidR="00146BCD" w:rsidRPr="00E60448">
              <w:rPr>
                <w:rFonts w:ascii="Arial" w:hAnsi="Arial" w:cs="Arial"/>
                <w:sz w:val="18"/>
              </w:rPr>
              <w:t xml:space="preserve">ECEC </w:t>
            </w:r>
            <w:r w:rsidR="00F9117D" w:rsidRPr="00E60448">
              <w:rPr>
                <w:rFonts w:ascii="Arial" w:hAnsi="Arial" w:cs="Arial"/>
                <w:sz w:val="18"/>
              </w:rPr>
              <w:t>educators</w:t>
            </w:r>
            <w:r w:rsidRPr="00E60448">
              <w:rPr>
                <w:rFonts w:ascii="Arial" w:hAnsi="Arial" w:cs="Arial"/>
                <w:sz w:val="18"/>
              </w:rPr>
              <w:t xml:space="preserve"> employ towards the end of the year to support children’s transition?</w:t>
            </w:r>
          </w:p>
          <w:p w:rsidR="00B860F6" w:rsidRPr="00E60448" w:rsidRDefault="00B860F6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strategies do we currently use </w:t>
            </w:r>
            <w:r w:rsidR="00325CB7" w:rsidRPr="00E60448">
              <w:rPr>
                <w:rFonts w:ascii="Arial" w:hAnsi="Arial" w:cs="Arial"/>
                <w:sz w:val="18"/>
              </w:rPr>
              <w:t xml:space="preserve">at </w:t>
            </w:r>
            <w:r w:rsidRPr="00E60448">
              <w:rPr>
                <w:rFonts w:ascii="Arial" w:hAnsi="Arial" w:cs="Arial"/>
                <w:sz w:val="18"/>
              </w:rPr>
              <w:t xml:space="preserve">the start of the </w:t>
            </w:r>
            <w:r w:rsidR="00325CB7" w:rsidRPr="00E60448">
              <w:rPr>
                <w:rFonts w:ascii="Arial" w:hAnsi="Arial" w:cs="Arial"/>
                <w:sz w:val="18"/>
              </w:rPr>
              <w:t xml:space="preserve">school </w:t>
            </w:r>
            <w:r w:rsidRPr="00E60448">
              <w:rPr>
                <w:rFonts w:ascii="Arial" w:hAnsi="Arial" w:cs="Arial"/>
                <w:sz w:val="18"/>
              </w:rPr>
              <w:t>year to support children’s transition</w:t>
            </w:r>
            <w:r w:rsidR="00D03A99" w:rsidRPr="00E60448">
              <w:rPr>
                <w:rFonts w:ascii="Arial" w:hAnsi="Arial" w:cs="Arial"/>
                <w:sz w:val="18"/>
              </w:rPr>
              <w:t xml:space="preserve"> to Prep</w:t>
            </w:r>
            <w:r w:rsidRPr="00E60448">
              <w:rPr>
                <w:rFonts w:ascii="Arial" w:hAnsi="Arial" w:cs="Arial"/>
                <w:sz w:val="18"/>
              </w:rPr>
              <w:t>?</w:t>
            </w:r>
          </w:p>
          <w:p w:rsidR="000C5E3E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How can </w:t>
            </w:r>
            <w:r w:rsidR="00B860F6" w:rsidRPr="00E60448">
              <w:rPr>
                <w:rFonts w:ascii="Arial" w:hAnsi="Arial" w:cs="Arial"/>
                <w:sz w:val="18"/>
              </w:rPr>
              <w:t>we work together to offer a stronger transition experience for all children?</w:t>
            </w:r>
          </w:p>
          <w:p w:rsidR="00AA51AF" w:rsidRPr="00E60448" w:rsidRDefault="00AA51AF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information </w:t>
            </w:r>
            <w:r w:rsidR="00D03A99" w:rsidRPr="00E60448">
              <w:rPr>
                <w:rFonts w:ascii="Arial" w:hAnsi="Arial" w:cs="Arial"/>
                <w:sz w:val="18"/>
              </w:rPr>
              <w:t>and resources have</w:t>
            </w:r>
            <w:r w:rsidRPr="00E60448">
              <w:rPr>
                <w:rFonts w:ascii="Arial" w:hAnsi="Arial" w:cs="Arial"/>
                <w:sz w:val="18"/>
              </w:rPr>
              <w:t xml:space="preserve"> been provided </w:t>
            </w:r>
            <w:r w:rsidR="00D03A99" w:rsidRPr="00E60448">
              <w:rPr>
                <w:rFonts w:ascii="Arial" w:hAnsi="Arial" w:cs="Arial"/>
                <w:sz w:val="18"/>
              </w:rPr>
              <w:t xml:space="preserve">by the state government and other organisations </w:t>
            </w:r>
            <w:r w:rsidRPr="00E60448">
              <w:rPr>
                <w:rFonts w:ascii="Arial" w:hAnsi="Arial" w:cs="Arial"/>
                <w:sz w:val="18"/>
              </w:rPr>
              <w:t>to support transit</w:t>
            </w:r>
            <w:r w:rsidR="00D03A99" w:rsidRPr="00E60448">
              <w:rPr>
                <w:rFonts w:ascii="Arial" w:hAnsi="Arial" w:cs="Arial"/>
                <w:sz w:val="18"/>
              </w:rPr>
              <w:t xml:space="preserve">ion planning? </w:t>
            </w:r>
          </w:p>
        </w:tc>
      </w:tr>
    </w:tbl>
    <w:p w:rsidR="00577F7A" w:rsidRPr="00E60448" w:rsidRDefault="000165F7" w:rsidP="007F3902">
      <w:pPr>
        <w:pStyle w:val="Heading3"/>
        <w:rPr>
          <w:i/>
        </w:rPr>
      </w:pPr>
      <w:r w:rsidRPr="00E60448">
        <w:rPr>
          <w:i/>
        </w:rPr>
        <w:t>Reciprocal relationships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0165F7" w:rsidRPr="001D2D76" w:rsidTr="009D3DFC"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0165F7" w:rsidRPr="00E60448" w:rsidRDefault="00993488" w:rsidP="007F390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Conversation starters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165F7" w:rsidRPr="00E60448" w:rsidRDefault="004809AA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Sharing concerns, </w:t>
            </w:r>
            <w:r w:rsidR="000C5E3E" w:rsidRPr="00E60448">
              <w:rPr>
                <w:rFonts w:ascii="Arial" w:hAnsi="Arial" w:cs="Arial"/>
                <w:sz w:val="18"/>
              </w:rPr>
              <w:t xml:space="preserve">issues, </w:t>
            </w:r>
            <w:r w:rsidR="000165F7" w:rsidRPr="00E60448">
              <w:rPr>
                <w:rFonts w:ascii="Arial" w:hAnsi="Arial" w:cs="Arial"/>
                <w:sz w:val="18"/>
              </w:rPr>
              <w:t>hopes and expectations</w:t>
            </w:r>
            <w:r w:rsidRPr="00E60448">
              <w:rPr>
                <w:rFonts w:ascii="Arial" w:hAnsi="Arial" w:cs="Arial"/>
                <w:sz w:val="18"/>
              </w:rPr>
              <w:t xml:space="preserve"> about transitions</w:t>
            </w:r>
          </w:p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Shared decision-making</w:t>
            </w:r>
          </w:p>
          <w:p w:rsidR="000165F7" w:rsidRPr="00E60448" w:rsidRDefault="00501CBB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Partnering to </w:t>
            </w:r>
            <w:r w:rsidR="009D74C5" w:rsidRPr="00E60448">
              <w:rPr>
                <w:rFonts w:ascii="Arial" w:hAnsi="Arial" w:cs="Arial"/>
                <w:sz w:val="18"/>
              </w:rPr>
              <w:t>hold</w:t>
            </w:r>
            <w:r w:rsidR="000165F7" w:rsidRPr="00E60448">
              <w:rPr>
                <w:rFonts w:ascii="Arial" w:hAnsi="Arial" w:cs="Arial"/>
                <w:sz w:val="18"/>
              </w:rPr>
              <w:t xml:space="preserve"> community events</w:t>
            </w:r>
            <w:r w:rsidR="000C5E3E" w:rsidRPr="00E6044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165F7" w:rsidRPr="001D2D76" w:rsidTr="00E60448">
        <w:trPr>
          <w:trHeight w:val="2719"/>
        </w:trPr>
        <w:tc>
          <w:tcPr>
            <w:tcW w:w="152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:rsidR="000165F7" w:rsidRPr="00E60448" w:rsidRDefault="000165F7" w:rsidP="007F390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60448">
              <w:rPr>
                <w:rFonts w:ascii="Arial" w:hAnsi="Arial" w:cs="Arial"/>
                <w:b/>
                <w:color w:val="FFFFFF" w:themeColor="background1"/>
                <w:sz w:val="18"/>
              </w:rPr>
              <w:t>Prompting questions</w:t>
            </w:r>
          </w:p>
        </w:tc>
        <w:tc>
          <w:tcPr>
            <w:tcW w:w="77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24F4D" w:rsidRPr="00E60448" w:rsidRDefault="00824F4D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What do we do well? What has worked in the past?</w:t>
            </w:r>
          </w:p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How can we </w:t>
            </w:r>
            <w:r w:rsidR="00B62A1C" w:rsidRPr="00E60448">
              <w:rPr>
                <w:rFonts w:ascii="Arial" w:hAnsi="Arial" w:cs="Arial"/>
                <w:sz w:val="18"/>
              </w:rPr>
              <w:t xml:space="preserve">work </w:t>
            </w:r>
            <w:r w:rsidR="000C5E3E" w:rsidRPr="00E60448">
              <w:rPr>
                <w:rFonts w:ascii="Arial" w:hAnsi="Arial" w:cs="Arial"/>
                <w:sz w:val="18"/>
              </w:rPr>
              <w:t xml:space="preserve">better </w:t>
            </w:r>
            <w:r w:rsidRPr="00E60448">
              <w:rPr>
                <w:rFonts w:ascii="Arial" w:hAnsi="Arial" w:cs="Arial"/>
                <w:sz w:val="18"/>
              </w:rPr>
              <w:t>together</w:t>
            </w:r>
            <w:r w:rsidR="00962971" w:rsidRPr="00E60448">
              <w:rPr>
                <w:rFonts w:ascii="Arial" w:hAnsi="Arial" w:cs="Arial"/>
                <w:sz w:val="18"/>
              </w:rPr>
              <w:t xml:space="preserve"> </w:t>
            </w:r>
            <w:r w:rsidR="00B62A1C" w:rsidRPr="00E60448">
              <w:rPr>
                <w:rFonts w:ascii="Arial" w:hAnsi="Arial" w:cs="Arial"/>
                <w:sz w:val="18"/>
              </w:rPr>
              <w:t>to</w:t>
            </w:r>
            <w:r w:rsidR="00962971" w:rsidRPr="00E60448">
              <w:rPr>
                <w:rFonts w:ascii="Arial" w:hAnsi="Arial" w:cs="Arial"/>
                <w:sz w:val="18"/>
              </w:rPr>
              <w:t xml:space="preserve"> make shared decisions about transitions</w:t>
            </w:r>
            <w:r w:rsidR="000C5E3E" w:rsidRPr="00E60448">
              <w:rPr>
                <w:rFonts w:ascii="Arial" w:hAnsi="Arial" w:cs="Arial"/>
                <w:sz w:val="18"/>
              </w:rPr>
              <w:t>?</w:t>
            </w:r>
          </w:p>
          <w:p w:rsidR="00AA51AF" w:rsidRPr="00E60448" w:rsidRDefault="00B62A1C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Collectively, w</w:t>
            </w:r>
            <w:r w:rsidR="00AA51AF" w:rsidRPr="00E60448">
              <w:rPr>
                <w:rFonts w:ascii="Arial" w:hAnsi="Arial" w:cs="Arial"/>
                <w:sz w:val="18"/>
              </w:rPr>
              <w:t xml:space="preserve">hat resources </w:t>
            </w:r>
            <w:r w:rsidR="009D3DFC" w:rsidRPr="00E60448">
              <w:rPr>
                <w:rFonts w:ascii="Arial" w:hAnsi="Arial" w:cs="Arial"/>
                <w:sz w:val="18"/>
              </w:rPr>
              <w:t xml:space="preserve">can </w:t>
            </w:r>
            <w:r w:rsidR="00AA51AF" w:rsidRPr="00E60448">
              <w:rPr>
                <w:rFonts w:ascii="Arial" w:hAnsi="Arial" w:cs="Arial"/>
                <w:sz w:val="18"/>
              </w:rPr>
              <w:t>we access</w:t>
            </w:r>
            <w:r w:rsidR="00D03A99" w:rsidRPr="00E60448">
              <w:rPr>
                <w:rFonts w:ascii="Arial" w:hAnsi="Arial" w:cs="Arial"/>
                <w:sz w:val="18"/>
              </w:rPr>
              <w:t>?</w:t>
            </w:r>
          </w:p>
          <w:p w:rsidR="00501CBB" w:rsidRPr="00E60448" w:rsidRDefault="00501CBB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How can we utilise our collective resources to partner and hold a community event?</w:t>
            </w:r>
          </w:p>
          <w:p w:rsidR="000165F7" w:rsidRPr="00E60448" w:rsidRDefault="004809AA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What actions can</w:t>
            </w:r>
            <w:r w:rsidR="000C5E3E" w:rsidRPr="00E60448">
              <w:rPr>
                <w:rFonts w:ascii="Arial" w:hAnsi="Arial" w:cs="Arial"/>
                <w:sz w:val="18"/>
              </w:rPr>
              <w:t xml:space="preserve"> each</w:t>
            </w:r>
            <w:r w:rsidRPr="00E60448">
              <w:rPr>
                <w:rFonts w:ascii="Arial" w:hAnsi="Arial" w:cs="Arial"/>
                <w:sz w:val="18"/>
              </w:rPr>
              <w:t xml:space="preserve"> partner</w:t>
            </w:r>
            <w:r w:rsidR="000C5E3E" w:rsidRPr="00E60448">
              <w:rPr>
                <w:rFonts w:ascii="Arial" w:hAnsi="Arial" w:cs="Arial"/>
                <w:sz w:val="18"/>
              </w:rPr>
              <w:t xml:space="preserve"> </w:t>
            </w:r>
            <w:r w:rsidRPr="00E60448">
              <w:rPr>
                <w:rFonts w:ascii="Arial" w:hAnsi="Arial" w:cs="Arial"/>
                <w:sz w:val="18"/>
              </w:rPr>
              <w:t>take responsibility</w:t>
            </w:r>
            <w:r w:rsidR="00824F4D" w:rsidRPr="00E60448">
              <w:rPr>
                <w:rFonts w:ascii="Arial" w:hAnsi="Arial" w:cs="Arial"/>
                <w:sz w:val="18"/>
              </w:rPr>
              <w:t xml:space="preserve"> </w:t>
            </w:r>
            <w:r w:rsidR="000C5E3E" w:rsidRPr="00E60448">
              <w:rPr>
                <w:rFonts w:ascii="Arial" w:hAnsi="Arial" w:cs="Arial"/>
                <w:sz w:val="18"/>
              </w:rPr>
              <w:t>for</w:t>
            </w:r>
            <w:r w:rsidR="009D3DFC" w:rsidRPr="00E60448">
              <w:rPr>
                <w:rFonts w:ascii="Arial" w:hAnsi="Arial" w:cs="Arial"/>
                <w:sz w:val="18"/>
              </w:rPr>
              <w:t xml:space="preserve"> and lead</w:t>
            </w:r>
            <w:r w:rsidR="000C5E3E" w:rsidRPr="00E60448">
              <w:rPr>
                <w:rFonts w:ascii="Arial" w:hAnsi="Arial" w:cs="Arial"/>
                <w:sz w:val="18"/>
              </w:rPr>
              <w:t>?</w:t>
            </w:r>
          </w:p>
          <w:p w:rsidR="00824F4D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What </w:t>
            </w:r>
            <w:r w:rsidR="000C5E3E" w:rsidRPr="00E60448">
              <w:rPr>
                <w:rFonts w:ascii="Arial" w:hAnsi="Arial" w:cs="Arial"/>
                <w:sz w:val="18"/>
              </w:rPr>
              <w:t>professional learning</w:t>
            </w:r>
            <w:r w:rsidRPr="00E60448">
              <w:rPr>
                <w:rFonts w:ascii="Arial" w:hAnsi="Arial" w:cs="Arial"/>
                <w:sz w:val="18"/>
              </w:rPr>
              <w:t xml:space="preserve"> can we benefit </w:t>
            </w:r>
            <w:r w:rsidR="000C5E3E" w:rsidRPr="00E60448">
              <w:rPr>
                <w:rFonts w:ascii="Arial" w:hAnsi="Arial" w:cs="Arial"/>
                <w:sz w:val="18"/>
              </w:rPr>
              <w:t>from as a group</w:t>
            </w:r>
            <w:r w:rsidRPr="00E60448">
              <w:rPr>
                <w:rFonts w:ascii="Arial" w:hAnsi="Arial" w:cs="Arial"/>
                <w:sz w:val="18"/>
              </w:rPr>
              <w:t xml:space="preserve"> to support our community</w:t>
            </w:r>
            <w:r w:rsidR="00FE0F7C" w:rsidRPr="00E60448">
              <w:rPr>
                <w:rFonts w:ascii="Arial" w:hAnsi="Arial" w:cs="Arial"/>
                <w:sz w:val="18"/>
              </w:rPr>
              <w:t xml:space="preserve"> priorities</w:t>
            </w:r>
            <w:r w:rsidRPr="00E60448">
              <w:rPr>
                <w:rFonts w:ascii="Arial" w:hAnsi="Arial" w:cs="Arial"/>
                <w:sz w:val="18"/>
              </w:rPr>
              <w:t xml:space="preserve">? </w:t>
            </w:r>
          </w:p>
          <w:p w:rsidR="000165F7" w:rsidRPr="00E60448" w:rsidRDefault="00824F4D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>Who can support us to strengthen our transition planning?</w:t>
            </w:r>
          </w:p>
          <w:p w:rsidR="000165F7" w:rsidRPr="00E60448" w:rsidRDefault="000165F7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Are there any network groups </w:t>
            </w:r>
            <w:r w:rsidR="00D43577" w:rsidRPr="00E60448">
              <w:rPr>
                <w:rFonts w:ascii="Arial" w:hAnsi="Arial" w:cs="Arial"/>
                <w:sz w:val="18"/>
              </w:rPr>
              <w:t xml:space="preserve">currently </w:t>
            </w:r>
            <w:r w:rsidR="00C05C37" w:rsidRPr="00E60448">
              <w:rPr>
                <w:rFonts w:ascii="Arial" w:hAnsi="Arial" w:cs="Arial"/>
                <w:sz w:val="18"/>
              </w:rPr>
              <w:t>running</w:t>
            </w:r>
            <w:r w:rsidRPr="00E60448">
              <w:rPr>
                <w:rFonts w:ascii="Arial" w:hAnsi="Arial" w:cs="Arial"/>
                <w:sz w:val="18"/>
              </w:rPr>
              <w:t xml:space="preserve"> </w:t>
            </w:r>
            <w:r w:rsidR="00824F4D" w:rsidRPr="00E60448">
              <w:rPr>
                <w:rFonts w:ascii="Arial" w:hAnsi="Arial" w:cs="Arial"/>
                <w:sz w:val="18"/>
              </w:rPr>
              <w:t>in the community that we can join?</w:t>
            </w:r>
          </w:p>
          <w:p w:rsidR="000165F7" w:rsidRPr="00E60448" w:rsidRDefault="00824F4D" w:rsidP="00E60448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742" w:hanging="425"/>
              <w:jc w:val="both"/>
              <w:rPr>
                <w:rFonts w:ascii="Arial" w:hAnsi="Arial" w:cs="Arial"/>
                <w:sz w:val="18"/>
              </w:rPr>
            </w:pPr>
            <w:r w:rsidRPr="00E60448">
              <w:rPr>
                <w:rFonts w:ascii="Arial" w:hAnsi="Arial" w:cs="Arial"/>
                <w:sz w:val="18"/>
              </w:rPr>
              <w:t xml:space="preserve">Is it plausible to </w:t>
            </w:r>
            <w:r w:rsidR="000165F7" w:rsidRPr="00E60448">
              <w:rPr>
                <w:rFonts w:ascii="Arial" w:hAnsi="Arial" w:cs="Arial"/>
                <w:sz w:val="18"/>
              </w:rPr>
              <w:t>establish a new group</w:t>
            </w:r>
            <w:r w:rsidRPr="00E60448">
              <w:rPr>
                <w:rFonts w:ascii="Arial" w:hAnsi="Arial" w:cs="Arial"/>
                <w:sz w:val="18"/>
              </w:rPr>
              <w:t xml:space="preserve"> focused on continuity in the early years for the children in our community</w:t>
            </w:r>
            <w:r w:rsidR="000165F7" w:rsidRPr="00E60448">
              <w:rPr>
                <w:rFonts w:ascii="Arial" w:hAnsi="Arial" w:cs="Arial"/>
                <w:sz w:val="18"/>
              </w:rPr>
              <w:t xml:space="preserve">? Who else might </w:t>
            </w:r>
            <w:r w:rsidRPr="00E60448">
              <w:rPr>
                <w:rFonts w:ascii="Arial" w:hAnsi="Arial" w:cs="Arial"/>
                <w:sz w:val="18"/>
              </w:rPr>
              <w:t xml:space="preserve">we </w:t>
            </w:r>
            <w:r w:rsidR="000165F7" w:rsidRPr="00E60448">
              <w:rPr>
                <w:rFonts w:ascii="Arial" w:hAnsi="Arial" w:cs="Arial"/>
                <w:sz w:val="18"/>
              </w:rPr>
              <w:t>include?</w:t>
            </w:r>
          </w:p>
        </w:tc>
      </w:tr>
    </w:tbl>
    <w:p w:rsidR="00A5373D" w:rsidRPr="00E60448" w:rsidRDefault="00A42757" w:rsidP="00E60448">
      <w:pPr>
        <w:pStyle w:val="Heading3"/>
        <w:rPr>
          <w:b w:val="0"/>
        </w:rPr>
      </w:pPr>
      <w:r w:rsidRPr="00E60448">
        <w:t>Where to from here?</w:t>
      </w:r>
    </w:p>
    <w:p w:rsidR="00A42757" w:rsidRPr="00727366" w:rsidRDefault="00A42757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Although each Queensland community is 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 xml:space="preserve">different </w:t>
      </w:r>
      <w:r w:rsidRPr="00727366">
        <w:rPr>
          <w:rFonts w:ascii="Arial" w:hAnsi="Arial" w:cs="Arial"/>
          <w:bCs/>
          <w:iCs/>
          <w:sz w:val="18"/>
          <w:szCs w:val="18"/>
        </w:rPr>
        <w:t>and will require individual planning and</w:t>
      </w:r>
      <w:r w:rsidR="00870602" w:rsidRPr="00727366">
        <w:rPr>
          <w:rFonts w:ascii="Arial" w:hAnsi="Arial" w:cs="Arial"/>
          <w:bCs/>
          <w:iCs/>
          <w:sz w:val="18"/>
          <w:szCs w:val="18"/>
        </w:rPr>
        <w:t xml:space="preserve"> tailored transition strategies</w:t>
      </w:r>
      <w:r w:rsidR="006F0582" w:rsidRPr="00727366">
        <w:rPr>
          <w:rFonts w:ascii="Arial" w:hAnsi="Arial" w:cs="Arial"/>
          <w:bCs/>
          <w:iCs/>
          <w:sz w:val="18"/>
          <w:szCs w:val="18"/>
        </w:rPr>
        <w:t>,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there are </w:t>
      </w:r>
      <w:r w:rsidR="00945D33" w:rsidRPr="00727366">
        <w:rPr>
          <w:rFonts w:ascii="Arial" w:hAnsi="Arial" w:cs="Arial"/>
          <w:bCs/>
          <w:iCs/>
          <w:sz w:val="18"/>
          <w:szCs w:val="18"/>
        </w:rPr>
        <w:t>always opportunities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to strengthen </w:t>
      </w:r>
      <w:r w:rsidR="00945D33" w:rsidRPr="00727366">
        <w:rPr>
          <w:rFonts w:ascii="Arial" w:hAnsi="Arial" w:cs="Arial"/>
          <w:bCs/>
          <w:iCs/>
          <w:sz w:val="18"/>
          <w:szCs w:val="18"/>
        </w:rPr>
        <w:t>relationships with transition partners.</w:t>
      </w:r>
      <w:r w:rsidR="009D3DFC"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To </w:t>
      </w:r>
      <w:r w:rsidR="00E55286" w:rsidRPr="00727366">
        <w:rPr>
          <w:rFonts w:ascii="Arial" w:hAnsi="Arial" w:cs="Arial"/>
          <w:bCs/>
          <w:iCs/>
          <w:sz w:val="18"/>
          <w:szCs w:val="18"/>
        </w:rPr>
        <w:t>act on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the information provided in this resource, follow these simple steps and begin the transition conversation with ECEC </w:t>
      </w:r>
      <w:r w:rsidR="00870602" w:rsidRPr="00727366">
        <w:rPr>
          <w:rFonts w:ascii="Arial" w:hAnsi="Arial" w:cs="Arial"/>
          <w:bCs/>
          <w:iCs/>
          <w:sz w:val="18"/>
          <w:szCs w:val="18"/>
        </w:rPr>
        <w:t>educators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in your local area.</w:t>
      </w:r>
    </w:p>
    <w:p w:rsidR="00A42757" w:rsidRPr="00727366" w:rsidRDefault="00A42757" w:rsidP="00E60448">
      <w:pPr>
        <w:pStyle w:val="Default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Identify your local ECEC services</w:t>
      </w:r>
    </w:p>
    <w:p w:rsidR="00A42757" w:rsidRPr="00727366" w:rsidRDefault="00A42757" w:rsidP="00E60448">
      <w:pPr>
        <w:pStyle w:val="Default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Make contact with </w:t>
      </w:r>
      <w:r w:rsidR="00B62A1C" w:rsidRPr="00727366">
        <w:rPr>
          <w:rFonts w:ascii="Arial" w:hAnsi="Arial" w:cs="Arial"/>
          <w:bCs/>
          <w:iCs/>
          <w:sz w:val="18"/>
          <w:szCs w:val="18"/>
        </w:rPr>
        <w:t xml:space="preserve">local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ECEC </w:t>
      </w:r>
      <w:r w:rsidR="004A1779" w:rsidRPr="00727366">
        <w:rPr>
          <w:rFonts w:ascii="Arial" w:hAnsi="Arial" w:cs="Arial"/>
          <w:bCs/>
          <w:iCs/>
          <w:sz w:val="18"/>
          <w:szCs w:val="18"/>
        </w:rPr>
        <w:t>educators</w:t>
      </w:r>
    </w:p>
    <w:p w:rsidR="00A42757" w:rsidRPr="00727366" w:rsidRDefault="006C3335" w:rsidP="00E60448">
      <w:pPr>
        <w:pStyle w:val="Default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Ensure the first meeting has a light tone with the purpose clearly communicated</w:t>
      </w:r>
    </w:p>
    <w:p w:rsidR="006C3335" w:rsidRPr="00727366" w:rsidRDefault="006C3335" w:rsidP="00E60448">
      <w:pPr>
        <w:pStyle w:val="Default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>Explore the potential to build a</w:t>
      </w:r>
      <w:r w:rsidR="004A1779" w:rsidRPr="00727366">
        <w:rPr>
          <w:rFonts w:ascii="Arial" w:hAnsi="Arial" w:cs="Arial"/>
          <w:bCs/>
          <w:iCs/>
          <w:sz w:val="18"/>
          <w:szCs w:val="18"/>
        </w:rPr>
        <w:t>n ongoing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relationship, including </w:t>
      </w:r>
      <w:r w:rsidR="00D43577" w:rsidRPr="00727366">
        <w:rPr>
          <w:rFonts w:ascii="Arial" w:hAnsi="Arial" w:cs="Arial"/>
          <w:bCs/>
          <w:iCs/>
          <w:sz w:val="18"/>
          <w:szCs w:val="18"/>
        </w:rPr>
        <w:t xml:space="preserve">discussing the </w:t>
      </w:r>
      <w:r w:rsidR="00870602" w:rsidRPr="00727366">
        <w:rPr>
          <w:rFonts w:ascii="Arial" w:hAnsi="Arial" w:cs="Arial"/>
          <w:bCs/>
          <w:iCs/>
          <w:sz w:val="18"/>
          <w:szCs w:val="18"/>
        </w:rPr>
        <w:t xml:space="preserve">frequency,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location </w:t>
      </w:r>
      <w:r w:rsidR="00870602" w:rsidRPr="00727366">
        <w:rPr>
          <w:rFonts w:ascii="Arial" w:hAnsi="Arial" w:cs="Arial"/>
          <w:bCs/>
          <w:iCs/>
          <w:sz w:val="18"/>
          <w:szCs w:val="18"/>
        </w:rPr>
        <w:t xml:space="preserve">and purpose 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of </w:t>
      </w:r>
      <w:r w:rsidR="00870602" w:rsidRPr="00727366">
        <w:rPr>
          <w:rFonts w:ascii="Arial" w:hAnsi="Arial" w:cs="Arial"/>
          <w:bCs/>
          <w:iCs/>
          <w:sz w:val="18"/>
          <w:szCs w:val="18"/>
        </w:rPr>
        <w:t xml:space="preserve">future </w:t>
      </w:r>
      <w:r w:rsidRPr="00727366">
        <w:rPr>
          <w:rFonts w:ascii="Arial" w:hAnsi="Arial" w:cs="Arial"/>
          <w:bCs/>
          <w:iCs/>
          <w:sz w:val="18"/>
          <w:szCs w:val="18"/>
        </w:rPr>
        <w:t>meetings</w:t>
      </w:r>
    </w:p>
    <w:p w:rsidR="004724DE" w:rsidRPr="00727366" w:rsidRDefault="006C3335" w:rsidP="00E60448">
      <w:pPr>
        <w:pStyle w:val="Default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Use the prompting </w:t>
      </w:r>
      <w:r w:rsidR="00894379" w:rsidRPr="00727366">
        <w:rPr>
          <w:rFonts w:ascii="Arial" w:hAnsi="Arial" w:cs="Arial"/>
          <w:bCs/>
          <w:iCs/>
          <w:sz w:val="18"/>
          <w:szCs w:val="18"/>
        </w:rPr>
        <w:t>topics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and questions </w:t>
      </w:r>
      <w:r w:rsidR="00870602" w:rsidRPr="00727366">
        <w:rPr>
          <w:rFonts w:ascii="Arial" w:hAnsi="Arial" w:cs="Arial"/>
          <w:bCs/>
          <w:iCs/>
          <w:sz w:val="18"/>
          <w:szCs w:val="18"/>
        </w:rPr>
        <w:t>provided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to guide conversations</w:t>
      </w:r>
      <w:r w:rsidR="00894379" w:rsidRPr="00727366">
        <w:rPr>
          <w:rFonts w:ascii="Arial" w:hAnsi="Arial" w:cs="Arial"/>
          <w:bCs/>
          <w:iCs/>
          <w:sz w:val="18"/>
          <w:szCs w:val="18"/>
        </w:rPr>
        <w:t xml:space="preserve"> at meetings</w:t>
      </w:r>
    </w:p>
    <w:p w:rsidR="007F3902" w:rsidRPr="00727366" w:rsidRDefault="006C1312" w:rsidP="00E60448">
      <w:pPr>
        <w:pStyle w:val="Default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Work together to respond to the emerging </w:t>
      </w:r>
      <w:r w:rsidR="00B62A1C" w:rsidRPr="00727366">
        <w:rPr>
          <w:rFonts w:ascii="Arial" w:hAnsi="Arial" w:cs="Arial"/>
          <w:bCs/>
          <w:iCs/>
          <w:sz w:val="18"/>
          <w:szCs w:val="18"/>
        </w:rPr>
        <w:t>priorities</w:t>
      </w:r>
      <w:r w:rsidRPr="00727366">
        <w:rPr>
          <w:rFonts w:ascii="Arial" w:hAnsi="Arial" w:cs="Arial"/>
          <w:bCs/>
          <w:iCs/>
          <w:sz w:val="18"/>
          <w:szCs w:val="18"/>
        </w:rPr>
        <w:t xml:space="preserve"> </w:t>
      </w:r>
      <w:r w:rsidR="00B62A1C" w:rsidRPr="00727366">
        <w:rPr>
          <w:rFonts w:ascii="Arial" w:hAnsi="Arial" w:cs="Arial"/>
          <w:bCs/>
          <w:iCs/>
          <w:sz w:val="18"/>
          <w:szCs w:val="18"/>
        </w:rPr>
        <w:t>and help children in your local community enjoy a positive start to school</w:t>
      </w:r>
      <w:r w:rsidR="0022733D" w:rsidRPr="00727366">
        <w:rPr>
          <w:rFonts w:ascii="Arial" w:hAnsi="Arial" w:cs="Arial"/>
          <w:bCs/>
          <w:iCs/>
          <w:sz w:val="18"/>
          <w:szCs w:val="18"/>
        </w:rPr>
        <w:t>.</w:t>
      </w:r>
    </w:p>
    <w:p w:rsidR="007F3902" w:rsidRPr="001D2D76" w:rsidRDefault="007F3902" w:rsidP="007F3902">
      <w:pPr>
        <w:pStyle w:val="ListParagraph"/>
        <w:spacing w:after="240"/>
        <w:jc w:val="both"/>
      </w:pPr>
    </w:p>
    <w:p w:rsidR="009D3DFC" w:rsidRPr="001D2D76" w:rsidRDefault="009D3DFC" w:rsidP="00727366">
      <w:pPr>
        <w:pStyle w:val="Heading3"/>
        <w:spacing w:before="0" w:after="240"/>
        <w:jc w:val="both"/>
        <w:rPr>
          <w:rFonts w:asciiTheme="minorHAnsi" w:hAnsiTheme="minorHAnsi"/>
        </w:rPr>
      </w:pPr>
      <w:r w:rsidRPr="00727366">
        <w:rPr>
          <w:bCs w:val="0"/>
          <w:iCs/>
          <w:sz w:val="26"/>
          <w:szCs w:val="26"/>
        </w:rPr>
        <w:lastRenderedPageBreak/>
        <w:t>More information</w:t>
      </w:r>
    </w:p>
    <w:p w:rsidR="009D3DFC" w:rsidRPr="00727366" w:rsidRDefault="009D3DFC" w:rsidP="00727366">
      <w:pPr>
        <w:pStyle w:val="Default"/>
        <w:spacing w:after="240" w:line="276" w:lineRule="auto"/>
        <w:rPr>
          <w:rFonts w:ascii="Arial" w:hAnsi="Arial" w:cs="Arial"/>
          <w:bCs/>
          <w:iCs/>
          <w:sz w:val="18"/>
          <w:szCs w:val="18"/>
        </w:rPr>
      </w:pPr>
      <w:r w:rsidRPr="00727366">
        <w:rPr>
          <w:rFonts w:ascii="Arial" w:hAnsi="Arial" w:cs="Arial"/>
          <w:bCs/>
          <w:iCs/>
          <w:sz w:val="18"/>
          <w:szCs w:val="18"/>
        </w:rPr>
        <w:t xml:space="preserve">Visit the DET </w:t>
      </w:r>
      <w:hyperlink r:id="rId15" w:history="1">
        <w:r w:rsidRPr="00727366">
          <w:rPr>
            <w:rFonts w:ascii="Arial" w:hAnsi="Arial" w:cs="Arial"/>
            <w:bCs/>
            <w:iCs/>
            <w:sz w:val="18"/>
            <w:szCs w:val="18"/>
          </w:rPr>
          <w:t>Transition to school</w:t>
        </w:r>
      </w:hyperlink>
      <w:r w:rsidRPr="00727366">
        <w:rPr>
          <w:rFonts w:ascii="Arial" w:hAnsi="Arial" w:cs="Arial"/>
          <w:bCs/>
          <w:iCs/>
          <w:sz w:val="18"/>
          <w:szCs w:val="18"/>
        </w:rPr>
        <w:t xml:space="preserve"> web pages for information on Queensland’s approach to transition to school. Contact your regional </w:t>
      </w:r>
      <w:hyperlink r:id="rId16" w:history="1">
        <w:r w:rsidRPr="00727366">
          <w:rPr>
            <w:rFonts w:ascii="Arial" w:hAnsi="Arial" w:cs="Arial"/>
            <w:bCs/>
            <w:iCs/>
            <w:sz w:val="18"/>
            <w:szCs w:val="18"/>
          </w:rPr>
          <w:t>Transition and Partnerships and Innovation officers</w:t>
        </w:r>
      </w:hyperlink>
      <w:r w:rsidRPr="00727366">
        <w:rPr>
          <w:rFonts w:ascii="Arial" w:hAnsi="Arial" w:cs="Arial"/>
          <w:bCs/>
          <w:iCs/>
          <w:sz w:val="18"/>
          <w:szCs w:val="18"/>
        </w:rPr>
        <w:t xml:space="preserve"> for local implementation advice and strategies</w:t>
      </w:r>
    </w:p>
    <w:sectPr w:rsidR="009D3DFC" w:rsidRPr="00727366" w:rsidSect="007F3902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HJL E+ Meta Medium LF">
    <w:altName w:val="Meta Medium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A4"/>
    <w:multiLevelType w:val="hybridMultilevel"/>
    <w:tmpl w:val="B91E3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2D3"/>
    <w:multiLevelType w:val="hybridMultilevel"/>
    <w:tmpl w:val="24C4F268"/>
    <w:lvl w:ilvl="0" w:tplc="59600E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95D"/>
    <w:multiLevelType w:val="hybridMultilevel"/>
    <w:tmpl w:val="AF5875D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086C4D52"/>
    <w:multiLevelType w:val="hybridMultilevel"/>
    <w:tmpl w:val="F9CCC1AE"/>
    <w:lvl w:ilvl="0" w:tplc="0C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09570A3D"/>
    <w:multiLevelType w:val="hybridMultilevel"/>
    <w:tmpl w:val="0358AD0C"/>
    <w:lvl w:ilvl="0" w:tplc="AD0C14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453"/>
    <w:multiLevelType w:val="hybridMultilevel"/>
    <w:tmpl w:val="E21601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1D78B8"/>
    <w:multiLevelType w:val="hybridMultilevel"/>
    <w:tmpl w:val="F470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B2AE8"/>
    <w:multiLevelType w:val="hybridMultilevel"/>
    <w:tmpl w:val="9A10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1D58"/>
    <w:multiLevelType w:val="hybridMultilevel"/>
    <w:tmpl w:val="0158F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747"/>
    <w:multiLevelType w:val="hybridMultilevel"/>
    <w:tmpl w:val="E1DA24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9B2175"/>
    <w:multiLevelType w:val="hybridMultilevel"/>
    <w:tmpl w:val="67627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20CE"/>
    <w:multiLevelType w:val="hybridMultilevel"/>
    <w:tmpl w:val="796EC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7300D"/>
    <w:multiLevelType w:val="hybridMultilevel"/>
    <w:tmpl w:val="5E8A4EC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3E557874"/>
    <w:multiLevelType w:val="hybridMultilevel"/>
    <w:tmpl w:val="8DFA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73D48"/>
    <w:multiLevelType w:val="hybridMultilevel"/>
    <w:tmpl w:val="761C8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D2E41"/>
    <w:multiLevelType w:val="hybridMultilevel"/>
    <w:tmpl w:val="E5A8F4C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21AA"/>
    <w:multiLevelType w:val="hybridMultilevel"/>
    <w:tmpl w:val="4B5A4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E4C17"/>
    <w:multiLevelType w:val="hybridMultilevel"/>
    <w:tmpl w:val="CA526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94DFF"/>
    <w:multiLevelType w:val="hybridMultilevel"/>
    <w:tmpl w:val="CCB4A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97071"/>
    <w:multiLevelType w:val="hybridMultilevel"/>
    <w:tmpl w:val="1044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4D72"/>
    <w:multiLevelType w:val="hybridMultilevel"/>
    <w:tmpl w:val="9A9A847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464BBF"/>
    <w:multiLevelType w:val="hybridMultilevel"/>
    <w:tmpl w:val="5B1CAA1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E3C8B"/>
    <w:multiLevelType w:val="hybridMultilevel"/>
    <w:tmpl w:val="BA52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24C8C"/>
    <w:multiLevelType w:val="hybridMultilevel"/>
    <w:tmpl w:val="A74EF21A"/>
    <w:lvl w:ilvl="0" w:tplc="82CA13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46FD4"/>
    <w:multiLevelType w:val="hybridMultilevel"/>
    <w:tmpl w:val="E9B094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A57285"/>
    <w:multiLevelType w:val="hybridMultilevel"/>
    <w:tmpl w:val="4058EE8C"/>
    <w:lvl w:ilvl="0" w:tplc="C8C26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336D5"/>
    <w:multiLevelType w:val="hybridMultilevel"/>
    <w:tmpl w:val="8632BEC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ABC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4310F"/>
    <w:multiLevelType w:val="hybridMultilevel"/>
    <w:tmpl w:val="7284C7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5691437"/>
    <w:multiLevelType w:val="hybridMultilevel"/>
    <w:tmpl w:val="91E225CE"/>
    <w:lvl w:ilvl="0" w:tplc="C8C26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817AE"/>
    <w:multiLevelType w:val="hybridMultilevel"/>
    <w:tmpl w:val="38AC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55127"/>
    <w:multiLevelType w:val="hybridMultilevel"/>
    <w:tmpl w:val="2D4AF4CC"/>
    <w:lvl w:ilvl="0" w:tplc="18A822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ABC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7FA7"/>
    <w:multiLevelType w:val="hybridMultilevel"/>
    <w:tmpl w:val="E814E99A"/>
    <w:lvl w:ilvl="0" w:tplc="C8C26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8"/>
  </w:num>
  <w:num w:numId="5">
    <w:abstractNumId w:val="29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19"/>
  </w:num>
  <w:num w:numId="11">
    <w:abstractNumId w:val="18"/>
  </w:num>
  <w:num w:numId="12">
    <w:abstractNumId w:val="0"/>
  </w:num>
  <w:num w:numId="13">
    <w:abstractNumId w:val="24"/>
  </w:num>
  <w:num w:numId="14">
    <w:abstractNumId w:val="15"/>
  </w:num>
  <w:num w:numId="15">
    <w:abstractNumId w:val="1"/>
  </w:num>
  <w:num w:numId="16">
    <w:abstractNumId w:val="4"/>
  </w:num>
  <w:num w:numId="17">
    <w:abstractNumId w:val="30"/>
  </w:num>
  <w:num w:numId="18">
    <w:abstractNumId w:val="23"/>
  </w:num>
  <w:num w:numId="19">
    <w:abstractNumId w:val="11"/>
  </w:num>
  <w:num w:numId="20">
    <w:abstractNumId w:val="16"/>
  </w:num>
  <w:num w:numId="21">
    <w:abstractNumId w:val="22"/>
  </w:num>
  <w:num w:numId="22">
    <w:abstractNumId w:val="27"/>
  </w:num>
  <w:num w:numId="23">
    <w:abstractNumId w:val="5"/>
  </w:num>
  <w:num w:numId="24">
    <w:abstractNumId w:val="20"/>
  </w:num>
  <w:num w:numId="25">
    <w:abstractNumId w:val="26"/>
  </w:num>
  <w:num w:numId="26">
    <w:abstractNumId w:val="9"/>
  </w:num>
  <w:num w:numId="27">
    <w:abstractNumId w:val="3"/>
  </w:num>
  <w:num w:numId="28">
    <w:abstractNumId w:val="2"/>
  </w:num>
  <w:num w:numId="29">
    <w:abstractNumId w:val="28"/>
  </w:num>
  <w:num w:numId="30">
    <w:abstractNumId w:val="25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89B"/>
    <w:rsid w:val="00004697"/>
    <w:rsid w:val="000165F7"/>
    <w:rsid w:val="00020507"/>
    <w:rsid w:val="00057F72"/>
    <w:rsid w:val="00080CDD"/>
    <w:rsid w:val="000A79CA"/>
    <w:rsid w:val="000B4B1D"/>
    <w:rsid w:val="000C5E3E"/>
    <w:rsid w:val="000D2306"/>
    <w:rsid w:val="00116AC0"/>
    <w:rsid w:val="00135E38"/>
    <w:rsid w:val="001373F9"/>
    <w:rsid w:val="00146BCD"/>
    <w:rsid w:val="00166067"/>
    <w:rsid w:val="001A0DB7"/>
    <w:rsid w:val="001B70E1"/>
    <w:rsid w:val="001C08DE"/>
    <w:rsid w:val="001C1942"/>
    <w:rsid w:val="001C2B28"/>
    <w:rsid w:val="001D2D76"/>
    <w:rsid w:val="00211FE8"/>
    <w:rsid w:val="00216A94"/>
    <w:rsid w:val="0022733D"/>
    <w:rsid w:val="00262FDC"/>
    <w:rsid w:val="00272781"/>
    <w:rsid w:val="002730B8"/>
    <w:rsid w:val="002811EF"/>
    <w:rsid w:val="002A103C"/>
    <w:rsid w:val="00300FDE"/>
    <w:rsid w:val="00325CB7"/>
    <w:rsid w:val="00330882"/>
    <w:rsid w:val="003379D0"/>
    <w:rsid w:val="00344559"/>
    <w:rsid w:val="00390480"/>
    <w:rsid w:val="003C394E"/>
    <w:rsid w:val="003D1DBB"/>
    <w:rsid w:val="003D6314"/>
    <w:rsid w:val="003D651F"/>
    <w:rsid w:val="003F65D5"/>
    <w:rsid w:val="00405643"/>
    <w:rsid w:val="004056F2"/>
    <w:rsid w:val="00452A20"/>
    <w:rsid w:val="00460682"/>
    <w:rsid w:val="004724DE"/>
    <w:rsid w:val="004809AA"/>
    <w:rsid w:val="00481F65"/>
    <w:rsid w:val="004A1779"/>
    <w:rsid w:val="004B735A"/>
    <w:rsid w:val="004E59CD"/>
    <w:rsid w:val="004E5E6F"/>
    <w:rsid w:val="004F17D8"/>
    <w:rsid w:val="004F2FFF"/>
    <w:rsid w:val="004F4731"/>
    <w:rsid w:val="00500263"/>
    <w:rsid w:val="00501CBB"/>
    <w:rsid w:val="00512F15"/>
    <w:rsid w:val="00534D26"/>
    <w:rsid w:val="005548C3"/>
    <w:rsid w:val="0056012C"/>
    <w:rsid w:val="00577F7A"/>
    <w:rsid w:val="005A1C3D"/>
    <w:rsid w:val="005B1BDD"/>
    <w:rsid w:val="005C31EE"/>
    <w:rsid w:val="005F6C7C"/>
    <w:rsid w:val="00615BD8"/>
    <w:rsid w:val="00615F92"/>
    <w:rsid w:val="0062289B"/>
    <w:rsid w:val="00624646"/>
    <w:rsid w:val="0063297B"/>
    <w:rsid w:val="00633320"/>
    <w:rsid w:val="0065142A"/>
    <w:rsid w:val="006B6E1C"/>
    <w:rsid w:val="006C1312"/>
    <w:rsid w:val="006C3335"/>
    <w:rsid w:val="006F0582"/>
    <w:rsid w:val="006F35CF"/>
    <w:rsid w:val="00703887"/>
    <w:rsid w:val="007227B9"/>
    <w:rsid w:val="00727366"/>
    <w:rsid w:val="0075351B"/>
    <w:rsid w:val="0076070C"/>
    <w:rsid w:val="00763512"/>
    <w:rsid w:val="007A23DA"/>
    <w:rsid w:val="007A6D2E"/>
    <w:rsid w:val="007D3EFE"/>
    <w:rsid w:val="007E193F"/>
    <w:rsid w:val="007F3902"/>
    <w:rsid w:val="00814C1B"/>
    <w:rsid w:val="00824F4D"/>
    <w:rsid w:val="0087010B"/>
    <w:rsid w:val="00870602"/>
    <w:rsid w:val="0088381A"/>
    <w:rsid w:val="00894379"/>
    <w:rsid w:val="008A7FA9"/>
    <w:rsid w:val="008B269B"/>
    <w:rsid w:val="008D6A39"/>
    <w:rsid w:val="00900C0E"/>
    <w:rsid w:val="00907F22"/>
    <w:rsid w:val="00945D33"/>
    <w:rsid w:val="00962971"/>
    <w:rsid w:val="00975AD8"/>
    <w:rsid w:val="00993488"/>
    <w:rsid w:val="009D3DFC"/>
    <w:rsid w:val="009D74C5"/>
    <w:rsid w:val="009D7FE5"/>
    <w:rsid w:val="00A40035"/>
    <w:rsid w:val="00A40485"/>
    <w:rsid w:val="00A42757"/>
    <w:rsid w:val="00A5373D"/>
    <w:rsid w:val="00A565ED"/>
    <w:rsid w:val="00A67BF2"/>
    <w:rsid w:val="00A71523"/>
    <w:rsid w:val="00A86DA2"/>
    <w:rsid w:val="00AA51AF"/>
    <w:rsid w:val="00AA5CD7"/>
    <w:rsid w:val="00AB157F"/>
    <w:rsid w:val="00AC53D8"/>
    <w:rsid w:val="00B02532"/>
    <w:rsid w:val="00B17EE9"/>
    <w:rsid w:val="00B34ABF"/>
    <w:rsid w:val="00B617DE"/>
    <w:rsid w:val="00B62A1C"/>
    <w:rsid w:val="00B860F6"/>
    <w:rsid w:val="00BA4653"/>
    <w:rsid w:val="00BB39DC"/>
    <w:rsid w:val="00BD6D8C"/>
    <w:rsid w:val="00BF441C"/>
    <w:rsid w:val="00C016DC"/>
    <w:rsid w:val="00C05C37"/>
    <w:rsid w:val="00C16C93"/>
    <w:rsid w:val="00C50CA7"/>
    <w:rsid w:val="00C51617"/>
    <w:rsid w:val="00CB498A"/>
    <w:rsid w:val="00CC64F4"/>
    <w:rsid w:val="00CC70AD"/>
    <w:rsid w:val="00CD1D4F"/>
    <w:rsid w:val="00CE1C45"/>
    <w:rsid w:val="00CF5DCC"/>
    <w:rsid w:val="00D03A99"/>
    <w:rsid w:val="00D14A58"/>
    <w:rsid w:val="00D27CBD"/>
    <w:rsid w:val="00D42C99"/>
    <w:rsid w:val="00D43577"/>
    <w:rsid w:val="00D7179D"/>
    <w:rsid w:val="00D8528C"/>
    <w:rsid w:val="00D86946"/>
    <w:rsid w:val="00D942C9"/>
    <w:rsid w:val="00DA10D2"/>
    <w:rsid w:val="00E00D1B"/>
    <w:rsid w:val="00E3310D"/>
    <w:rsid w:val="00E55286"/>
    <w:rsid w:val="00E60448"/>
    <w:rsid w:val="00E62AD6"/>
    <w:rsid w:val="00E95428"/>
    <w:rsid w:val="00EA3559"/>
    <w:rsid w:val="00EA4E76"/>
    <w:rsid w:val="00EB1FD9"/>
    <w:rsid w:val="00ED5D59"/>
    <w:rsid w:val="00EE1E83"/>
    <w:rsid w:val="00EE6CA8"/>
    <w:rsid w:val="00F12F6E"/>
    <w:rsid w:val="00F17DEE"/>
    <w:rsid w:val="00F608D4"/>
    <w:rsid w:val="00F63D49"/>
    <w:rsid w:val="00F658DA"/>
    <w:rsid w:val="00F9117D"/>
    <w:rsid w:val="00F96F27"/>
    <w:rsid w:val="00FC3EDD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7B9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7227B9"/>
    <w:rPr>
      <w:rFonts w:cs="Times New Roman"/>
      <w:b/>
      <w:bCs/>
      <w:sz w:val="28"/>
      <w:szCs w:val="28"/>
      <w:lang w:val="x-none" w:eastAsia="en-AU"/>
    </w:rPr>
  </w:style>
  <w:style w:type="paragraph" w:styleId="ListParagraph">
    <w:name w:val="List Paragraph"/>
    <w:basedOn w:val="Normal"/>
    <w:uiPriority w:val="34"/>
    <w:qFormat/>
    <w:rsid w:val="0062289B"/>
    <w:pPr>
      <w:ind w:left="720"/>
      <w:contextualSpacing/>
    </w:pPr>
  </w:style>
  <w:style w:type="table" w:styleId="TableGrid">
    <w:name w:val="Table Grid"/>
    <w:basedOn w:val="TableNormal"/>
    <w:uiPriority w:val="59"/>
    <w:rsid w:val="0062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B17EE9"/>
    <w:pPr>
      <w:suppressAutoHyphens/>
      <w:spacing w:after="280" w:line="300" w:lineRule="exact"/>
      <w:ind w:right="45"/>
    </w:pPr>
    <w:rPr>
      <w:rFonts w:ascii="Arial" w:hAnsi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E59C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D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C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0C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0C0E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C0E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27366"/>
    <w:pPr>
      <w:autoSpaceDE w:val="0"/>
      <w:autoSpaceDN w:val="0"/>
      <w:adjustRightInd w:val="0"/>
      <w:spacing w:after="0" w:line="240" w:lineRule="auto"/>
    </w:pPr>
    <w:rPr>
      <w:rFonts w:ascii="TEHJL E+ Meta Medium LF" w:hAnsi="TEHJL E+ Meta Medium LF" w:cs="TEHJL E+ Meta Medium L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aa.qld.edu.au/26435.html" TargetMode="External"/><Relationship Id="rId13" Type="http://schemas.openxmlformats.org/officeDocument/2006/relationships/hyperlink" Target="https://www.google.com.au/map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://deta.qld.gov.au/earlychildhood/news/sector-reports/aedc-resources.html" TargetMode="External"/><Relationship Id="rId12" Type="http://schemas.openxmlformats.org/officeDocument/2006/relationships/hyperlink" Target="http://www.mychild.gov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eportal.deta.qld.gov.au/earlychildhood/forschools/Pages/Transitiontoschoolsupportcontacts.aspx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deta.qld.gov.au/earlychildhood/pdfs/transition-to-school-decision-making-tool.pdf" TargetMode="External"/><Relationship Id="rId11" Type="http://schemas.openxmlformats.org/officeDocument/2006/relationships/hyperlink" Target="https://www.qcaa.qld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a.qld.gov.au/earlychildhood/about/successful-transitions/index.html" TargetMode="External"/><Relationship Id="rId10" Type="http://schemas.openxmlformats.org/officeDocument/2006/relationships/hyperlink" Target="https://www.qcaa.qld.edu.au/26402.html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" TargetMode="External"/><Relationship Id="rId14" Type="http://schemas.openxmlformats.org/officeDocument/2006/relationships/hyperlink" Target="ttp://www.deta.qld.gov.au/earlychildhood/pdfs/transition-to-school-decision-making-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AC84E5A7B2643B1156F1C7CE9DCB7" ma:contentTypeVersion="1" ma:contentTypeDescription="Create a new document." ma:contentTypeScope="" ma:versionID="b4b10fa27f8fb147f823ab17687c6d44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2023-08-10T23:08:07+00:00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2023-08-10T23:08:07+00:00</PPLastReviewedDate>
    <PPSubmittedDate xmlns="687c0ba5-25f6-467d-a8e9-4285ca7a69ae">2023-08-10T23:07:59+00:00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5ED43DA-D833-4843-8993-F2093B46C040}"/>
</file>

<file path=customXml/itemProps2.xml><?xml version="1.0" encoding="utf-8"?>
<ds:datastoreItem xmlns:ds="http://schemas.openxmlformats.org/officeDocument/2006/customXml" ds:itemID="{6F2DC8AD-89BD-4062-96EB-589154FB94C6}"/>
</file>

<file path=customXml/itemProps3.xml><?xml version="1.0" encoding="utf-8"?>
<ds:datastoreItem xmlns:ds="http://schemas.openxmlformats.org/officeDocument/2006/customXml" ds:itemID="{5D4A13DB-4FBA-48A7-AF76-19C8D44A9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1702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Starter: Principals and ECEC service providers</dc:title>
  <dc:subject/>
  <dc:creator>HAGON, Madeline</dc:creator>
  <cp:keywords/>
  <dc:description/>
  <cp:lastModifiedBy>SAUNDERS, David</cp:lastModifiedBy>
  <cp:revision>4</cp:revision>
  <cp:lastPrinted>2015-10-08T00:43:00Z</cp:lastPrinted>
  <dcterms:created xsi:type="dcterms:W3CDTF">2016-03-17T23:44:00Z</dcterms:created>
  <dcterms:modified xsi:type="dcterms:W3CDTF">2017-02-08T23:36:00Z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0x0101003DEAC84E5A7B2643B1156F1C7CE9DCB7</vt:lpwstr>
  </property>
</Properties>
</file>