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46" w:rsidRPr="00F5427E" w:rsidRDefault="00416046" w:rsidP="00F5427E">
      <w:pPr>
        <w:pStyle w:val="Heading2"/>
        <w:spacing w:before="0" w:after="240" w:line="276" w:lineRule="auto"/>
        <w:jc w:val="both"/>
        <w:rPr>
          <w:bCs w:val="0"/>
          <w:iCs/>
          <w:color w:val="365F91" w:themeColor="accent1" w:themeShade="BF"/>
          <w:sz w:val="28"/>
          <w:szCs w:val="28"/>
          <w:lang w:eastAsia="zh-CN"/>
        </w:rPr>
      </w:pPr>
      <w:r w:rsidRPr="00F5427E">
        <w:rPr>
          <w:bCs w:val="0"/>
          <w:iCs/>
          <w:color w:val="365F91" w:themeColor="accent1" w:themeShade="BF"/>
          <w:sz w:val="28"/>
          <w:szCs w:val="28"/>
          <w:lang w:eastAsia="zh-CN"/>
        </w:rPr>
        <w:t xml:space="preserve">Supporting </w:t>
      </w:r>
      <w:r w:rsidR="009B7F27" w:rsidRPr="00F5427E">
        <w:rPr>
          <w:bCs w:val="0"/>
          <w:iCs/>
          <w:color w:val="365F91" w:themeColor="accent1" w:themeShade="BF"/>
          <w:sz w:val="28"/>
          <w:szCs w:val="28"/>
          <w:lang w:eastAsia="zh-CN"/>
        </w:rPr>
        <w:t>suc</w:t>
      </w:r>
      <w:bookmarkStart w:id="0" w:name="_GoBack"/>
      <w:bookmarkEnd w:id="0"/>
      <w:r w:rsidR="009B7F27" w:rsidRPr="00F5427E">
        <w:rPr>
          <w:bCs w:val="0"/>
          <w:iCs/>
          <w:color w:val="365F91" w:themeColor="accent1" w:themeShade="BF"/>
          <w:sz w:val="28"/>
          <w:szCs w:val="28"/>
          <w:lang w:eastAsia="zh-CN"/>
        </w:rPr>
        <w:t>cessful</w:t>
      </w:r>
      <w:r w:rsidRPr="00F5427E">
        <w:rPr>
          <w:bCs w:val="0"/>
          <w:iCs/>
          <w:color w:val="365F91" w:themeColor="accent1" w:themeShade="BF"/>
          <w:sz w:val="28"/>
          <w:szCs w:val="28"/>
          <w:lang w:eastAsia="zh-CN"/>
        </w:rPr>
        <w:t xml:space="preserve"> </w:t>
      </w:r>
      <w:r w:rsidR="009B7F27" w:rsidRPr="00F5427E">
        <w:rPr>
          <w:bCs w:val="0"/>
          <w:iCs/>
          <w:color w:val="365F91" w:themeColor="accent1" w:themeShade="BF"/>
          <w:sz w:val="28"/>
          <w:szCs w:val="28"/>
          <w:lang w:eastAsia="zh-CN"/>
        </w:rPr>
        <w:t>transitions</w:t>
      </w:r>
      <w:r w:rsidR="001E4042" w:rsidRPr="00F5427E">
        <w:rPr>
          <w:bCs w:val="0"/>
          <w:iCs/>
          <w:color w:val="365F91" w:themeColor="accent1" w:themeShade="BF"/>
          <w:sz w:val="28"/>
          <w:szCs w:val="28"/>
          <w:lang w:eastAsia="zh-CN"/>
        </w:rPr>
        <w:t xml:space="preserve"> </w:t>
      </w:r>
      <w:r w:rsidR="00DF5B27" w:rsidRPr="00F5427E">
        <w:rPr>
          <w:bCs w:val="0"/>
          <w:iCs/>
          <w:color w:val="365F91" w:themeColor="accent1" w:themeShade="BF"/>
          <w:sz w:val="28"/>
          <w:szCs w:val="28"/>
          <w:lang w:eastAsia="zh-CN"/>
        </w:rPr>
        <w:t>n</w:t>
      </w:r>
      <w:r w:rsidRPr="00F5427E">
        <w:rPr>
          <w:bCs w:val="0"/>
          <w:iCs/>
          <w:color w:val="365F91" w:themeColor="accent1" w:themeShade="BF"/>
          <w:sz w:val="28"/>
          <w:szCs w:val="28"/>
          <w:lang w:eastAsia="zh-CN"/>
        </w:rPr>
        <w:t xml:space="preserve">ewsletter </w:t>
      </w:r>
      <w:r w:rsidR="00DF5B27" w:rsidRPr="00F5427E">
        <w:rPr>
          <w:bCs w:val="0"/>
          <w:iCs/>
          <w:color w:val="365F91" w:themeColor="accent1" w:themeShade="BF"/>
          <w:sz w:val="28"/>
          <w:szCs w:val="28"/>
          <w:lang w:eastAsia="zh-CN"/>
        </w:rPr>
        <w:tab/>
      </w:r>
      <w:r w:rsidR="00DF5B27" w:rsidRPr="00F5427E">
        <w:rPr>
          <w:bCs w:val="0"/>
          <w:iCs/>
          <w:color w:val="365F91" w:themeColor="accent1" w:themeShade="BF"/>
          <w:sz w:val="28"/>
          <w:szCs w:val="28"/>
          <w:lang w:eastAsia="zh-CN"/>
        </w:rPr>
        <w:tab/>
      </w:r>
    </w:p>
    <w:p w:rsidR="00DF5B27" w:rsidRPr="00F5427E" w:rsidRDefault="00DF5B27" w:rsidP="00F5427E">
      <w:pPr>
        <w:pStyle w:val="Heading2"/>
        <w:spacing w:before="0" w:after="240" w:line="276" w:lineRule="auto"/>
        <w:jc w:val="both"/>
        <w:rPr>
          <w:bCs w:val="0"/>
          <w:iCs/>
          <w:color w:val="365F91" w:themeColor="accent1" w:themeShade="BF"/>
          <w:sz w:val="28"/>
          <w:szCs w:val="28"/>
          <w:lang w:eastAsia="zh-CN"/>
        </w:rPr>
      </w:pPr>
      <w:r w:rsidRPr="00F5427E">
        <w:rPr>
          <w:bCs w:val="0"/>
          <w:iCs/>
          <w:color w:val="365F91" w:themeColor="accent1" w:themeShade="BF"/>
          <w:sz w:val="28"/>
          <w:szCs w:val="28"/>
          <w:lang w:eastAsia="zh-CN"/>
        </w:rPr>
        <w:t>Reciprocal relationships</w:t>
      </w:r>
      <w:r w:rsidR="00F5427E">
        <w:rPr>
          <w:bCs w:val="0"/>
          <w:iCs/>
          <w:color w:val="365F91" w:themeColor="accent1" w:themeShade="BF"/>
          <w:sz w:val="28"/>
          <w:szCs w:val="28"/>
          <w:lang w:eastAsia="zh-CN"/>
        </w:rPr>
        <w:t xml:space="preserve"> e</w:t>
      </w:r>
      <w:r w:rsidR="00F5427E" w:rsidRPr="00F5427E">
        <w:rPr>
          <w:bCs w:val="0"/>
          <w:iCs/>
          <w:color w:val="365F91" w:themeColor="accent1" w:themeShade="BF"/>
          <w:sz w:val="28"/>
          <w:szCs w:val="28"/>
          <w:lang w:eastAsia="zh-CN"/>
        </w:rPr>
        <w:t>dition 2 2015</w:t>
      </w:r>
    </w:p>
    <w:p w:rsidR="000E3FAF" w:rsidRPr="00764B74" w:rsidRDefault="00416046" w:rsidP="00F5427E">
      <w:pPr>
        <w:pStyle w:val="Heading2"/>
        <w:spacing w:before="0" w:after="240" w:line="276" w:lineRule="auto"/>
        <w:jc w:val="both"/>
        <w:rPr>
          <w:rFonts w:ascii="Arial" w:hAnsi="Arial" w:cs="Arial"/>
          <w:lang w:bidi="he-IL"/>
        </w:rPr>
      </w:pPr>
      <w:r w:rsidRPr="00F5427E">
        <w:rPr>
          <w:bCs w:val="0"/>
          <w:iCs/>
          <w:lang w:eastAsia="zh-CN"/>
        </w:rPr>
        <w:t>Welcome</w:t>
      </w:r>
      <w:r w:rsidRPr="00764B74">
        <w:rPr>
          <w:rFonts w:ascii="Arial" w:hAnsi="Arial" w:cs="Arial"/>
          <w:lang w:bidi="he-IL"/>
        </w:rPr>
        <w:t xml:space="preserve"> </w:t>
      </w:r>
    </w:p>
    <w:p w:rsidR="000E3FAF"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Welcome to the second edition of the Supporting successful transitions newsletter. </w:t>
      </w:r>
    </w:p>
    <w:p w:rsidR="000E3FAF"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This </w:t>
      </w:r>
      <w:r w:rsidR="00416046" w:rsidRPr="00F5427E">
        <w:rPr>
          <w:rFonts w:ascii="Arial" w:hAnsi="Arial" w:cs="Arial"/>
          <w:bCs/>
          <w:iCs/>
          <w:color w:val="000000"/>
          <w:sz w:val="18"/>
          <w:szCs w:val="18"/>
          <w:lang w:eastAsia="zh-CN"/>
        </w:rPr>
        <w:t xml:space="preserve">edition </w:t>
      </w:r>
      <w:r w:rsidRPr="00F5427E">
        <w:rPr>
          <w:rFonts w:ascii="Arial" w:hAnsi="Arial" w:cs="Arial"/>
          <w:bCs/>
          <w:iCs/>
          <w:color w:val="000000"/>
          <w:sz w:val="18"/>
          <w:szCs w:val="18"/>
          <w:lang w:eastAsia="zh-CN"/>
        </w:rPr>
        <w:t>focuses on Reciprocal relationships – one of the five</w:t>
      </w:r>
      <w:r w:rsidR="003E5A17" w:rsidRPr="00F5427E">
        <w:rPr>
          <w:rFonts w:ascii="Arial" w:hAnsi="Arial" w:cs="Arial"/>
          <w:bCs/>
          <w:iCs/>
          <w:color w:val="000000"/>
          <w:sz w:val="18"/>
          <w:szCs w:val="18"/>
          <w:lang w:eastAsia="zh-CN"/>
        </w:rPr>
        <w:t xml:space="preserve"> action areas described in the </w:t>
      </w:r>
      <w:r w:rsidR="00416046" w:rsidRPr="00F5427E">
        <w:rPr>
          <w:rFonts w:ascii="Arial" w:hAnsi="Arial" w:cs="Arial"/>
          <w:bCs/>
          <w:iCs/>
          <w:color w:val="000000"/>
          <w:sz w:val="18"/>
          <w:szCs w:val="18"/>
          <w:lang w:eastAsia="zh-CN"/>
        </w:rPr>
        <w:t>Supporting successful transitions: School</w:t>
      </w:r>
      <w:r w:rsidR="00146748" w:rsidRPr="00F5427E">
        <w:rPr>
          <w:rFonts w:ascii="Arial" w:hAnsi="Arial" w:cs="Arial"/>
          <w:bCs/>
          <w:iCs/>
          <w:color w:val="000000"/>
          <w:sz w:val="18"/>
          <w:szCs w:val="18"/>
          <w:lang w:eastAsia="zh-CN"/>
        </w:rPr>
        <w:t xml:space="preserve"> decision-making tool.</w:t>
      </w:r>
    </w:p>
    <w:p w:rsidR="000E3FAF"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The likelihood of children and families experiencing a successful school transition is enhanced when relationships with </w:t>
      </w:r>
      <w:r w:rsidR="00B40805" w:rsidRPr="00F5427E">
        <w:rPr>
          <w:rFonts w:ascii="Arial" w:hAnsi="Arial" w:cs="Arial"/>
          <w:bCs/>
          <w:iCs/>
          <w:color w:val="000000"/>
          <w:sz w:val="18"/>
          <w:szCs w:val="18"/>
          <w:lang w:eastAsia="zh-CN"/>
        </w:rPr>
        <w:t xml:space="preserve">transition </w:t>
      </w:r>
      <w:r w:rsidRPr="00F5427E">
        <w:rPr>
          <w:rFonts w:ascii="Arial" w:hAnsi="Arial" w:cs="Arial"/>
          <w:bCs/>
          <w:iCs/>
          <w:color w:val="000000"/>
          <w:sz w:val="18"/>
          <w:szCs w:val="18"/>
          <w:lang w:eastAsia="zh-CN"/>
        </w:rPr>
        <w:t xml:space="preserve">partners are underpinned by mutual trust and respect. Where genuine relationships exist and partners feel safe to express </w:t>
      </w:r>
      <w:r w:rsidR="00146748" w:rsidRPr="00F5427E">
        <w:rPr>
          <w:rFonts w:ascii="Arial" w:hAnsi="Arial" w:cs="Arial"/>
          <w:bCs/>
          <w:iCs/>
          <w:color w:val="000000"/>
          <w:sz w:val="18"/>
          <w:szCs w:val="18"/>
          <w:lang w:eastAsia="zh-CN"/>
        </w:rPr>
        <w:t xml:space="preserve">personal perspectives, </w:t>
      </w:r>
      <w:r w:rsidRPr="00F5427E">
        <w:rPr>
          <w:rFonts w:ascii="Arial" w:hAnsi="Arial" w:cs="Arial"/>
          <w:bCs/>
          <w:iCs/>
          <w:color w:val="000000"/>
          <w:sz w:val="18"/>
          <w:szCs w:val="18"/>
          <w:lang w:eastAsia="zh-CN"/>
        </w:rPr>
        <w:t>the opportunities for collaborative actions and strengthened continuity are maximised.</w:t>
      </w:r>
    </w:p>
    <w:p w:rsidR="00B40805"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Relationships </w:t>
      </w:r>
      <w:r w:rsidR="003E5A17" w:rsidRPr="00F5427E">
        <w:rPr>
          <w:rFonts w:ascii="Arial" w:hAnsi="Arial" w:cs="Arial"/>
          <w:bCs/>
          <w:iCs/>
          <w:color w:val="000000"/>
          <w:sz w:val="18"/>
          <w:szCs w:val="18"/>
          <w:lang w:eastAsia="zh-CN"/>
        </w:rPr>
        <w:t>do not</w:t>
      </w:r>
      <w:r w:rsidRPr="00F5427E">
        <w:rPr>
          <w:rFonts w:ascii="Arial" w:hAnsi="Arial" w:cs="Arial"/>
          <w:bCs/>
          <w:iCs/>
          <w:color w:val="000000"/>
          <w:sz w:val="18"/>
          <w:szCs w:val="18"/>
          <w:lang w:eastAsia="zh-CN"/>
        </w:rPr>
        <w:t xml:space="preserve"> just happen; they take time, com</w:t>
      </w:r>
      <w:r w:rsidR="004B0BE9" w:rsidRPr="00F5427E">
        <w:rPr>
          <w:rFonts w:ascii="Arial" w:hAnsi="Arial" w:cs="Arial"/>
          <w:bCs/>
          <w:iCs/>
          <w:color w:val="000000"/>
          <w:sz w:val="18"/>
          <w:szCs w:val="18"/>
          <w:lang w:eastAsia="zh-CN"/>
        </w:rPr>
        <w:t xml:space="preserve">mitment and common priorities. </w:t>
      </w:r>
      <w:r w:rsidRPr="00F5427E">
        <w:rPr>
          <w:rFonts w:ascii="Arial" w:hAnsi="Arial" w:cs="Arial"/>
          <w:bCs/>
          <w:iCs/>
          <w:color w:val="000000"/>
          <w:sz w:val="18"/>
          <w:szCs w:val="18"/>
          <w:lang w:eastAsia="zh-CN"/>
        </w:rPr>
        <w:t xml:space="preserve">The approach your school takes will vary in response to your unique context. This means having a vision for your school community, supported by your beliefs about what is essential in ensuring a successful transition for all children. </w:t>
      </w:r>
    </w:p>
    <w:p w:rsidR="007136C3"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In creating your vision, </w:t>
      </w:r>
      <w:r w:rsidR="00B40805" w:rsidRPr="00F5427E">
        <w:rPr>
          <w:rFonts w:ascii="Arial" w:hAnsi="Arial" w:cs="Arial"/>
          <w:bCs/>
          <w:iCs/>
          <w:color w:val="000000"/>
          <w:sz w:val="18"/>
          <w:szCs w:val="18"/>
          <w:lang w:eastAsia="zh-CN"/>
        </w:rPr>
        <w:t>reflect on your school’s current approach to building relationships through the lens of children, families, ECEC educators and the broader com</w:t>
      </w:r>
      <w:r w:rsidR="007136C3" w:rsidRPr="00F5427E">
        <w:rPr>
          <w:rFonts w:ascii="Arial" w:hAnsi="Arial" w:cs="Arial"/>
          <w:bCs/>
          <w:iCs/>
          <w:color w:val="000000"/>
          <w:sz w:val="18"/>
          <w:szCs w:val="18"/>
          <w:lang w:eastAsia="zh-CN"/>
        </w:rPr>
        <w:t>munity and</w:t>
      </w:r>
      <w:r w:rsidR="00B40805" w:rsidRPr="00F5427E">
        <w:rPr>
          <w:rFonts w:ascii="Arial" w:hAnsi="Arial" w:cs="Arial"/>
          <w:bCs/>
          <w:iCs/>
          <w:color w:val="000000"/>
          <w:sz w:val="18"/>
          <w:szCs w:val="18"/>
          <w:lang w:eastAsia="zh-CN"/>
        </w:rPr>
        <w:t xml:space="preserve"> </w:t>
      </w:r>
      <w:r w:rsidR="00542504" w:rsidRPr="00F5427E">
        <w:rPr>
          <w:rFonts w:ascii="Arial" w:hAnsi="Arial" w:cs="Arial"/>
          <w:bCs/>
          <w:iCs/>
          <w:color w:val="000000"/>
          <w:sz w:val="18"/>
          <w:szCs w:val="18"/>
          <w:lang w:eastAsia="zh-CN"/>
        </w:rPr>
        <w:t xml:space="preserve">consider where your practice sits against </w:t>
      </w:r>
      <w:r w:rsidR="00B40805" w:rsidRPr="00F5427E">
        <w:rPr>
          <w:rFonts w:ascii="Arial" w:hAnsi="Arial" w:cs="Arial"/>
          <w:bCs/>
          <w:iCs/>
          <w:color w:val="000000"/>
          <w:sz w:val="18"/>
          <w:szCs w:val="18"/>
          <w:lang w:eastAsia="zh-CN"/>
        </w:rPr>
        <w:t xml:space="preserve">the </w:t>
      </w:r>
      <w:r w:rsidR="00542504" w:rsidRPr="00F5427E">
        <w:rPr>
          <w:rFonts w:ascii="Arial" w:hAnsi="Arial" w:cs="Arial"/>
          <w:bCs/>
          <w:iCs/>
          <w:color w:val="000000"/>
          <w:sz w:val="18"/>
          <w:szCs w:val="18"/>
          <w:lang w:eastAsia="zh-CN"/>
        </w:rPr>
        <w:t xml:space="preserve">matrix on page 11 of the School decision-making tool. </w:t>
      </w:r>
      <w:r w:rsidR="007136C3" w:rsidRPr="00F5427E">
        <w:rPr>
          <w:rFonts w:ascii="Arial" w:hAnsi="Arial" w:cs="Arial"/>
          <w:bCs/>
          <w:iCs/>
          <w:color w:val="000000"/>
          <w:sz w:val="18"/>
          <w:szCs w:val="18"/>
          <w:lang w:eastAsia="zh-CN"/>
        </w:rPr>
        <w:t xml:space="preserve">To further support your reflection, </w:t>
      </w:r>
      <w:r w:rsidR="00B40805" w:rsidRPr="00F5427E">
        <w:rPr>
          <w:rFonts w:ascii="Arial" w:hAnsi="Arial" w:cs="Arial"/>
          <w:bCs/>
          <w:iCs/>
          <w:color w:val="000000"/>
          <w:sz w:val="18"/>
          <w:szCs w:val="18"/>
          <w:lang w:eastAsia="zh-CN"/>
        </w:rPr>
        <w:t xml:space="preserve">I encourage you to draw on the </w:t>
      </w:r>
      <w:r w:rsidR="007136C3" w:rsidRPr="00F5427E">
        <w:rPr>
          <w:rFonts w:ascii="Arial" w:hAnsi="Arial" w:cs="Arial"/>
          <w:bCs/>
          <w:iCs/>
          <w:color w:val="000000"/>
          <w:sz w:val="18"/>
          <w:szCs w:val="18"/>
          <w:lang w:eastAsia="zh-CN"/>
        </w:rPr>
        <w:t xml:space="preserve">full range of </w:t>
      </w:r>
      <w:r w:rsidR="00146748" w:rsidRPr="00F5427E">
        <w:rPr>
          <w:rFonts w:ascii="Arial" w:hAnsi="Arial" w:cs="Arial"/>
          <w:bCs/>
          <w:iCs/>
          <w:color w:val="000000"/>
          <w:sz w:val="18"/>
          <w:szCs w:val="18"/>
          <w:lang w:eastAsia="zh-CN"/>
        </w:rPr>
        <w:t xml:space="preserve">transition </w:t>
      </w:r>
      <w:r w:rsidR="00B40805" w:rsidRPr="00F5427E">
        <w:rPr>
          <w:rFonts w:ascii="Arial" w:hAnsi="Arial" w:cs="Arial"/>
          <w:bCs/>
          <w:iCs/>
          <w:color w:val="000000"/>
          <w:sz w:val="18"/>
          <w:szCs w:val="18"/>
          <w:lang w:eastAsia="zh-CN"/>
        </w:rPr>
        <w:t>resources provided</w:t>
      </w:r>
      <w:r w:rsidR="007136C3" w:rsidRPr="00F5427E">
        <w:rPr>
          <w:rFonts w:ascii="Arial" w:hAnsi="Arial" w:cs="Arial"/>
          <w:bCs/>
          <w:iCs/>
          <w:color w:val="000000"/>
          <w:sz w:val="18"/>
          <w:szCs w:val="18"/>
          <w:lang w:eastAsia="zh-CN"/>
        </w:rPr>
        <w:t xml:space="preserve">. </w:t>
      </w:r>
    </w:p>
    <w:p w:rsidR="00F416B2"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In this edition of the newsletter you will fi</w:t>
      </w:r>
      <w:r w:rsidR="004B0BE9" w:rsidRPr="00F5427E">
        <w:rPr>
          <w:rFonts w:ascii="Arial" w:hAnsi="Arial" w:cs="Arial"/>
          <w:bCs/>
          <w:iCs/>
          <w:color w:val="000000"/>
          <w:sz w:val="18"/>
          <w:szCs w:val="18"/>
          <w:lang w:eastAsia="zh-CN"/>
        </w:rPr>
        <w:t>nd a case study of North Coast r</w:t>
      </w:r>
      <w:r w:rsidRPr="00F5427E">
        <w:rPr>
          <w:rFonts w:ascii="Arial" w:hAnsi="Arial" w:cs="Arial"/>
          <w:bCs/>
          <w:iCs/>
          <w:color w:val="000000"/>
          <w:sz w:val="18"/>
          <w:szCs w:val="18"/>
          <w:lang w:eastAsia="zh-CN"/>
        </w:rPr>
        <w:t xml:space="preserve">egion’s approach to promoting the importance of relationships </w:t>
      </w:r>
      <w:r w:rsidR="004B0BE9" w:rsidRPr="00F5427E">
        <w:rPr>
          <w:rFonts w:ascii="Arial" w:hAnsi="Arial" w:cs="Arial"/>
          <w:bCs/>
          <w:iCs/>
          <w:color w:val="000000"/>
          <w:sz w:val="18"/>
          <w:szCs w:val="18"/>
          <w:lang w:eastAsia="zh-CN"/>
        </w:rPr>
        <w:t>and an i</w:t>
      </w:r>
      <w:r w:rsidRPr="00F5427E">
        <w:rPr>
          <w:rFonts w:ascii="Arial" w:hAnsi="Arial" w:cs="Arial"/>
          <w:bCs/>
          <w:iCs/>
          <w:color w:val="000000"/>
          <w:sz w:val="18"/>
          <w:szCs w:val="18"/>
          <w:lang w:eastAsia="zh-CN"/>
        </w:rPr>
        <w:t xml:space="preserve">nformation sheet highlighting some successful strategies which have been implemented </w:t>
      </w:r>
      <w:r w:rsidR="004B0BE9" w:rsidRPr="00F5427E">
        <w:rPr>
          <w:rFonts w:ascii="Arial" w:hAnsi="Arial" w:cs="Arial"/>
          <w:bCs/>
          <w:iCs/>
          <w:color w:val="000000"/>
          <w:sz w:val="18"/>
          <w:szCs w:val="18"/>
          <w:lang w:eastAsia="zh-CN"/>
        </w:rPr>
        <w:t xml:space="preserve">in diverse contexts </w:t>
      </w:r>
      <w:r w:rsidR="00E26527" w:rsidRPr="00F5427E">
        <w:rPr>
          <w:rFonts w:ascii="Arial" w:hAnsi="Arial" w:cs="Arial"/>
          <w:bCs/>
          <w:iCs/>
          <w:color w:val="000000"/>
          <w:sz w:val="18"/>
          <w:szCs w:val="18"/>
          <w:lang w:eastAsia="zh-CN"/>
        </w:rPr>
        <w:t>across the state.</w:t>
      </w:r>
    </w:p>
    <w:p w:rsidR="00E26527" w:rsidRPr="00F5427E" w:rsidRDefault="00416046"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Enclosed with this</w:t>
      </w:r>
      <w:r w:rsidR="00A36093" w:rsidRPr="00F5427E">
        <w:rPr>
          <w:rFonts w:ascii="Arial" w:hAnsi="Arial" w:cs="Arial"/>
          <w:bCs/>
          <w:iCs/>
          <w:color w:val="000000"/>
          <w:sz w:val="18"/>
          <w:szCs w:val="18"/>
          <w:lang w:eastAsia="zh-CN"/>
        </w:rPr>
        <w:t xml:space="preserve"> newsletter </w:t>
      </w:r>
      <w:r w:rsidR="00F416B2" w:rsidRPr="00F5427E">
        <w:rPr>
          <w:rFonts w:ascii="Arial" w:hAnsi="Arial" w:cs="Arial"/>
          <w:bCs/>
          <w:iCs/>
          <w:color w:val="000000"/>
          <w:sz w:val="18"/>
          <w:szCs w:val="18"/>
          <w:lang w:eastAsia="zh-CN"/>
        </w:rPr>
        <w:t xml:space="preserve">is a </w:t>
      </w:r>
      <w:r w:rsidR="00E26527" w:rsidRPr="00F5427E">
        <w:rPr>
          <w:rFonts w:ascii="Arial" w:hAnsi="Arial" w:cs="Arial"/>
          <w:bCs/>
          <w:iCs/>
          <w:color w:val="000000"/>
          <w:sz w:val="18"/>
          <w:szCs w:val="18"/>
          <w:lang w:eastAsia="zh-CN"/>
        </w:rPr>
        <w:t>resource</w:t>
      </w:r>
      <w:r w:rsidR="00F416B2" w:rsidRPr="00F5427E">
        <w:rPr>
          <w:rFonts w:ascii="Arial" w:hAnsi="Arial" w:cs="Arial"/>
          <w:bCs/>
          <w:iCs/>
          <w:color w:val="000000"/>
          <w:sz w:val="18"/>
          <w:szCs w:val="18"/>
          <w:lang w:eastAsia="zh-CN"/>
        </w:rPr>
        <w:t xml:space="preserve"> </w:t>
      </w:r>
      <w:r w:rsidR="00E26527" w:rsidRPr="00F5427E">
        <w:rPr>
          <w:rFonts w:ascii="Arial" w:hAnsi="Arial" w:cs="Arial"/>
          <w:bCs/>
          <w:iCs/>
          <w:color w:val="000000"/>
          <w:sz w:val="18"/>
          <w:szCs w:val="18"/>
          <w:lang w:eastAsia="zh-CN"/>
        </w:rPr>
        <w:t>providing</w:t>
      </w:r>
      <w:r w:rsidR="00F416B2" w:rsidRPr="00F5427E">
        <w:rPr>
          <w:rFonts w:ascii="Arial" w:hAnsi="Arial" w:cs="Arial"/>
          <w:bCs/>
          <w:iCs/>
          <w:color w:val="000000"/>
          <w:sz w:val="18"/>
          <w:szCs w:val="18"/>
          <w:lang w:eastAsia="zh-CN"/>
        </w:rPr>
        <w:t xml:space="preserve"> </w:t>
      </w:r>
      <w:r w:rsidR="00E26527" w:rsidRPr="00F5427E">
        <w:rPr>
          <w:rFonts w:ascii="Arial" w:hAnsi="Arial" w:cs="Arial"/>
          <w:bCs/>
          <w:iCs/>
          <w:color w:val="000000"/>
          <w:sz w:val="18"/>
          <w:szCs w:val="18"/>
          <w:lang w:eastAsia="zh-CN"/>
        </w:rPr>
        <w:t>suggested</w:t>
      </w:r>
      <w:r w:rsidR="00F416B2" w:rsidRPr="00F5427E">
        <w:rPr>
          <w:rFonts w:ascii="Arial" w:hAnsi="Arial" w:cs="Arial"/>
          <w:bCs/>
          <w:iCs/>
          <w:color w:val="000000"/>
          <w:sz w:val="18"/>
          <w:szCs w:val="18"/>
          <w:lang w:eastAsia="zh-CN"/>
        </w:rPr>
        <w:t xml:space="preserve"> </w:t>
      </w:r>
      <w:r w:rsidR="00E26527" w:rsidRPr="00F5427E">
        <w:rPr>
          <w:rFonts w:ascii="Arial" w:hAnsi="Arial" w:cs="Arial"/>
          <w:bCs/>
          <w:iCs/>
          <w:color w:val="000000"/>
          <w:sz w:val="18"/>
          <w:szCs w:val="18"/>
          <w:lang w:eastAsia="zh-CN"/>
        </w:rPr>
        <w:t xml:space="preserve">topics </w:t>
      </w:r>
      <w:r w:rsidR="00F416B2" w:rsidRPr="00F5427E">
        <w:rPr>
          <w:rFonts w:ascii="Arial" w:hAnsi="Arial" w:cs="Arial"/>
          <w:bCs/>
          <w:iCs/>
          <w:color w:val="000000"/>
          <w:sz w:val="18"/>
          <w:szCs w:val="18"/>
          <w:lang w:eastAsia="zh-CN"/>
        </w:rPr>
        <w:t>for conversation</w:t>
      </w:r>
      <w:r w:rsidR="00E26527" w:rsidRPr="00F5427E">
        <w:rPr>
          <w:rFonts w:ascii="Arial" w:hAnsi="Arial" w:cs="Arial"/>
          <w:bCs/>
          <w:iCs/>
          <w:color w:val="000000"/>
          <w:sz w:val="18"/>
          <w:szCs w:val="18"/>
          <w:lang w:eastAsia="zh-CN"/>
        </w:rPr>
        <w:t>s</w:t>
      </w:r>
      <w:r w:rsidR="00F416B2" w:rsidRPr="00F5427E">
        <w:rPr>
          <w:rFonts w:ascii="Arial" w:hAnsi="Arial" w:cs="Arial"/>
          <w:bCs/>
          <w:iCs/>
          <w:color w:val="000000"/>
          <w:sz w:val="18"/>
          <w:szCs w:val="18"/>
          <w:lang w:eastAsia="zh-CN"/>
        </w:rPr>
        <w:t xml:space="preserve"> between schools and ECEC services, a </w:t>
      </w:r>
      <w:r w:rsidR="000E3FAF" w:rsidRPr="00F5427E">
        <w:rPr>
          <w:rFonts w:ascii="Arial" w:hAnsi="Arial" w:cs="Arial"/>
          <w:bCs/>
          <w:iCs/>
          <w:color w:val="000000"/>
          <w:sz w:val="18"/>
          <w:szCs w:val="18"/>
          <w:lang w:eastAsia="zh-CN"/>
        </w:rPr>
        <w:t xml:space="preserve">USB containing electronic copies of </w:t>
      </w:r>
      <w:proofErr w:type="spellStart"/>
      <w:r w:rsidR="00F416B2" w:rsidRPr="00F5427E">
        <w:rPr>
          <w:rFonts w:ascii="Arial" w:hAnsi="Arial" w:cs="Arial"/>
          <w:bCs/>
          <w:iCs/>
          <w:color w:val="000000"/>
          <w:sz w:val="18"/>
          <w:szCs w:val="18"/>
          <w:lang w:eastAsia="zh-CN"/>
        </w:rPr>
        <w:t>statewide</w:t>
      </w:r>
      <w:proofErr w:type="spellEnd"/>
      <w:r w:rsidR="00F416B2" w:rsidRPr="00F5427E">
        <w:rPr>
          <w:rFonts w:ascii="Arial" w:hAnsi="Arial" w:cs="Arial"/>
          <w:bCs/>
          <w:iCs/>
          <w:color w:val="000000"/>
          <w:sz w:val="18"/>
          <w:szCs w:val="18"/>
          <w:lang w:eastAsia="zh-CN"/>
        </w:rPr>
        <w:t xml:space="preserve"> transition</w:t>
      </w:r>
      <w:r w:rsidR="000E3FAF" w:rsidRPr="00F5427E">
        <w:rPr>
          <w:rFonts w:ascii="Arial" w:hAnsi="Arial" w:cs="Arial"/>
          <w:bCs/>
          <w:iCs/>
          <w:color w:val="000000"/>
          <w:sz w:val="18"/>
          <w:szCs w:val="18"/>
          <w:lang w:eastAsia="zh-CN"/>
        </w:rPr>
        <w:t xml:space="preserve"> resources and a mouse mat highlighting the key components of the </w:t>
      </w:r>
      <w:r w:rsidR="004B0BE9" w:rsidRPr="00F5427E">
        <w:rPr>
          <w:rFonts w:ascii="Arial" w:hAnsi="Arial" w:cs="Arial"/>
          <w:bCs/>
          <w:iCs/>
          <w:color w:val="000000"/>
          <w:sz w:val="18"/>
          <w:szCs w:val="18"/>
          <w:lang w:eastAsia="zh-CN"/>
        </w:rPr>
        <w:t>School decision-</w:t>
      </w:r>
      <w:r w:rsidR="000E3FAF" w:rsidRPr="00F5427E">
        <w:rPr>
          <w:rFonts w:ascii="Arial" w:hAnsi="Arial" w:cs="Arial"/>
          <w:bCs/>
          <w:iCs/>
          <w:color w:val="000000"/>
          <w:sz w:val="18"/>
          <w:szCs w:val="18"/>
          <w:lang w:eastAsia="zh-CN"/>
        </w:rPr>
        <w:t xml:space="preserve">making tool. </w:t>
      </w:r>
    </w:p>
    <w:p w:rsidR="000E3FAF" w:rsidRPr="00F5427E" w:rsidRDefault="000E3FAF" w:rsidP="00F5427E">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These </w:t>
      </w:r>
      <w:r w:rsidR="00A36093" w:rsidRPr="00F5427E">
        <w:rPr>
          <w:rFonts w:ascii="Arial" w:hAnsi="Arial" w:cs="Arial"/>
          <w:bCs/>
          <w:iCs/>
          <w:color w:val="000000"/>
          <w:sz w:val="18"/>
          <w:szCs w:val="18"/>
          <w:lang w:eastAsia="zh-CN"/>
        </w:rPr>
        <w:t>resources</w:t>
      </w:r>
      <w:r w:rsidRPr="00F5427E">
        <w:rPr>
          <w:rFonts w:ascii="Arial" w:hAnsi="Arial" w:cs="Arial"/>
          <w:bCs/>
          <w:iCs/>
          <w:color w:val="000000"/>
          <w:sz w:val="18"/>
          <w:szCs w:val="18"/>
          <w:lang w:eastAsia="zh-CN"/>
        </w:rPr>
        <w:t xml:space="preserve"> can be added to your transitions folder to continue building the rich compilation of </w:t>
      </w:r>
      <w:proofErr w:type="spellStart"/>
      <w:r w:rsidRPr="00F5427E">
        <w:rPr>
          <w:rFonts w:ascii="Arial" w:hAnsi="Arial" w:cs="Arial"/>
          <w:bCs/>
          <w:iCs/>
          <w:color w:val="000000"/>
          <w:sz w:val="18"/>
          <w:szCs w:val="18"/>
          <w:lang w:eastAsia="zh-CN"/>
        </w:rPr>
        <w:t>statewide</w:t>
      </w:r>
      <w:proofErr w:type="spellEnd"/>
      <w:r w:rsidRPr="00F5427E">
        <w:rPr>
          <w:rFonts w:ascii="Arial" w:hAnsi="Arial" w:cs="Arial"/>
          <w:bCs/>
          <w:iCs/>
          <w:color w:val="000000"/>
          <w:sz w:val="18"/>
          <w:szCs w:val="18"/>
          <w:lang w:eastAsia="zh-CN"/>
        </w:rPr>
        <w:t xml:space="preserve"> materials and school</w:t>
      </w:r>
      <w:r w:rsidR="00416046" w:rsidRPr="00F5427E">
        <w:rPr>
          <w:rFonts w:ascii="Arial" w:hAnsi="Arial" w:cs="Arial"/>
          <w:bCs/>
          <w:iCs/>
          <w:color w:val="000000"/>
          <w:sz w:val="18"/>
          <w:szCs w:val="18"/>
          <w:lang w:eastAsia="zh-CN"/>
        </w:rPr>
        <w:t>-</w:t>
      </w:r>
      <w:r w:rsidRPr="00F5427E">
        <w:rPr>
          <w:rFonts w:ascii="Arial" w:hAnsi="Arial" w:cs="Arial"/>
          <w:bCs/>
          <w:iCs/>
          <w:color w:val="000000"/>
          <w:sz w:val="18"/>
          <w:szCs w:val="18"/>
          <w:lang w:eastAsia="zh-CN"/>
        </w:rPr>
        <w:t xml:space="preserve">specific </w:t>
      </w:r>
      <w:r w:rsidR="009A05A7" w:rsidRPr="00F5427E">
        <w:rPr>
          <w:rFonts w:ascii="Arial" w:hAnsi="Arial" w:cs="Arial"/>
          <w:bCs/>
          <w:iCs/>
          <w:color w:val="000000"/>
          <w:sz w:val="18"/>
          <w:szCs w:val="18"/>
          <w:lang w:eastAsia="zh-CN"/>
        </w:rPr>
        <w:t xml:space="preserve">transition </w:t>
      </w:r>
      <w:r w:rsidRPr="00F5427E">
        <w:rPr>
          <w:rFonts w:ascii="Arial" w:hAnsi="Arial" w:cs="Arial"/>
          <w:bCs/>
          <w:iCs/>
          <w:color w:val="000000"/>
          <w:sz w:val="18"/>
          <w:szCs w:val="18"/>
          <w:lang w:eastAsia="zh-CN"/>
        </w:rPr>
        <w:t xml:space="preserve">documents. </w:t>
      </w:r>
    </w:p>
    <w:p w:rsidR="00416046" w:rsidRPr="00F5427E" w:rsidRDefault="00416046" w:rsidP="00F5427E">
      <w:pPr>
        <w:spacing w:line="276" w:lineRule="auto"/>
        <w:jc w:val="both"/>
        <w:rPr>
          <w:rFonts w:ascii="Arial" w:hAnsi="Arial" w:cs="Arial"/>
          <w:b/>
          <w:bCs/>
          <w:iCs/>
          <w:color w:val="000000"/>
          <w:sz w:val="18"/>
          <w:szCs w:val="18"/>
          <w:lang w:eastAsia="zh-CN"/>
        </w:rPr>
      </w:pPr>
      <w:r w:rsidRPr="00F5427E">
        <w:rPr>
          <w:rFonts w:ascii="Arial" w:hAnsi="Arial" w:cs="Arial"/>
          <w:b/>
          <w:bCs/>
          <w:iCs/>
          <w:color w:val="000000"/>
          <w:sz w:val="18"/>
          <w:szCs w:val="18"/>
          <w:lang w:eastAsia="zh-CN"/>
        </w:rPr>
        <w:t>Dr Mary Lincoln</w:t>
      </w:r>
    </w:p>
    <w:p w:rsidR="000E3FAF" w:rsidRPr="00F5427E" w:rsidRDefault="00416046" w:rsidP="00F5427E">
      <w:pPr>
        <w:spacing w:line="276" w:lineRule="auto"/>
        <w:jc w:val="both"/>
        <w:rPr>
          <w:rFonts w:ascii="Arial" w:hAnsi="Arial" w:cs="Arial"/>
          <w:b/>
          <w:bCs/>
          <w:iCs/>
          <w:color w:val="000000"/>
          <w:sz w:val="18"/>
          <w:szCs w:val="18"/>
          <w:lang w:eastAsia="zh-CN"/>
        </w:rPr>
      </w:pPr>
      <w:r w:rsidRPr="00F5427E">
        <w:rPr>
          <w:rFonts w:ascii="Arial" w:hAnsi="Arial" w:cs="Arial"/>
          <w:b/>
          <w:bCs/>
          <w:iCs/>
          <w:color w:val="000000"/>
          <w:sz w:val="18"/>
          <w:szCs w:val="18"/>
          <w:lang w:eastAsia="zh-CN"/>
        </w:rPr>
        <w:t>Director, Early Learning Pathways</w:t>
      </w:r>
      <w:r w:rsidRPr="00F5427E">
        <w:rPr>
          <w:rFonts w:ascii="Arial" w:hAnsi="Arial" w:cs="Arial"/>
          <w:b/>
          <w:bCs/>
          <w:iCs/>
          <w:color w:val="000000"/>
          <w:sz w:val="18"/>
          <w:szCs w:val="18"/>
          <w:lang w:eastAsia="zh-CN"/>
        </w:rPr>
        <w:tab/>
      </w:r>
    </w:p>
    <w:p w:rsidR="000E3FAF" w:rsidRPr="00D71510" w:rsidRDefault="000E3FAF" w:rsidP="00D71510">
      <w:pPr>
        <w:spacing w:after="200" w:line="276" w:lineRule="auto"/>
        <w:jc w:val="both"/>
        <w:rPr>
          <w:rFonts w:cs="Arial"/>
        </w:rPr>
      </w:pPr>
    </w:p>
    <w:p w:rsidR="004D62D9" w:rsidRDefault="004D62D9" w:rsidP="00F5427E">
      <w:pPr>
        <w:pStyle w:val="Heading2"/>
        <w:spacing w:before="0" w:after="240" w:line="276" w:lineRule="auto"/>
        <w:rPr>
          <w:bCs w:val="0"/>
          <w:iCs/>
          <w:lang w:eastAsia="zh-CN"/>
        </w:rPr>
      </w:pPr>
    </w:p>
    <w:p w:rsidR="004D62D9" w:rsidRDefault="004D62D9" w:rsidP="004D62D9">
      <w:pPr>
        <w:rPr>
          <w:lang w:eastAsia="zh-CN"/>
        </w:rPr>
      </w:pPr>
    </w:p>
    <w:p w:rsidR="004D62D9" w:rsidRDefault="004D62D9" w:rsidP="004D62D9">
      <w:pPr>
        <w:rPr>
          <w:lang w:eastAsia="zh-CN"/>
        </w:rPr>
      </w:pPr>
    </w:p>
    <w:p w:rsidR="004D62D9" w:rsidRDefault="004D62D9" w:rsidP="004D62D9">
      <w:pPr>
        <w:rPr>
          <w:lang w:eastAsia="zh-CN"/>
        </w:rPr>
      </w:pPr>
    </w:p>
    <w:p w:rsidR="004D62D9" w:rsidRDefault="004D62D9" w:rsidP="004D62D9">
      <w:pPr>
        <w:rPr>
          <w:lang w:eastAsia="zh-CN"/>
        </w:rPr>
      </w:pPr>
    </w:p>
    <w:p w:rsidR="004D62D9" w:rsidRDefault="004D62D9" w:rsidP="004D62D9">
      <w:pPr>
        <w:rPr>
          <w:lang w:eastAsia="zh-CN"/>
        </w:rPr>
      </w:pPr>
    </w:p>
    <w:p w:rsidR="004D62D9" w:rsidRDefault="004D62D9" w:rsidP="004D62D9">
      <w:pPr>
        <w:rPr>
          <w:lang w:eastAsia="zh-CN"/>
        </w:rPr>
      </w:pPr>
    </w:p>
    <w:p w:rsidR="004D62D9" w:rsidRDefault="004D62D9" w:rsidP="004D62D9">
      <w:pPr>
        <w:rPr>
          <w:lang w:eastAsia="zh-CN"/>
        </w:rPr>
      </w:pPr>
    </w:p>
    <w:p w:rsidR="004D62D9" w:rsidRPr="004D62D9" w:rsidRDefault="004D62D9" w:rsidP="004D62D9">
      <w:pPr>
        <w:rPr>
          <w:lang w:eastAsia="zh-CN"/>
        </w:rPr>
      </w:pPr>
    </w:p>
    <w:p w:rsidR="00416046" w:rsidRPr="00F5427E" w:rsidRDefault="00DB79E8" w:rsidP="00F5427E">
      <w:pPr>
        <w:pStyle w:val="Heading2"/>
        <w:spacing w:before="0" w:after="240" w:line="276" w:lineRule="auto"/>
        <w:rPr>
          <w:bCs w:val="0"/>
          <w:iCs/>
          <w:lang w:eastAsia="zh-CN"/>
        </w:rPr>
      </w:pPr>
      <w:r w:rsidRPr="00F5427E">
        <w:rPr>
          <w:bCs w:val="0"/>
          <w:iCs/>
          <w:lang w:eastAsia="zh-CN"/>
        </w:rPr>
        <w:lastRenderedPageBreak/>
        <w:t>Successful transitions</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Our commitment to increasing access to quality early childhood education and care services is borne of empirical research which shows that social, physical and emotional development in a child’s early years set the foundation for cognitive development and academic success. Everyone in society has a role in ensuring the community contributes to, and nurtures, a child’s safety, well-being and lifelong learning opportunities including all levels of government and their services, the private sector, the media, employers, families and community groups.</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Across the department, we are all committed to supporting families and children as they take the journey from home to childcare, to early childhood programs and on to school. The research is clear that reciprocal and respectful relationships where parents, educators and teachers are treated as experts, based on their experience gained in the daily contact with children, are fundamental for each child’s sense of well-being during the transition to school.</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In Early Childhood Education and Care, we stay committed to ensuring every child has the opportunity to go to an approved kindergarten program in the year before Prep.  We work within a national quality framework and with over 2800 early childhood providers to assess and rate regulated services to improve the quality of programs and embed a culture of continuous improvement. We are implementing the Queensland Government’s newly released Workforce Action Plan 2016- 2019 to support early childhood educators and teachers to undertake pre-service and in-service study, and we are developing information and materials that will best support schools as community leaders in transition planning.</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Principals across Queensland are leading successful initiatives to connect with parents, carers and early childhood educators as early as possible – welcoming new families into the school environment and community, and getting to know each child’s early childhood experiences and the multidimensional nature of their development.</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Assistant regional directors, regional early childhood education and care directors, their transition, partnerships and innovation officers are on the ground working with families, early childhood educators, community groups, principals and Prep teachers in their important roles as first teachers; enablers of children’s development including first experiences of socialisation and autonomy outside of the family environment; and providers of educational experiences within a school’s nurturing and inclusive culture.</w:t>
      </w:r>
    </w:p>
    <w:p w:rsidR="001827BD" w:rsidRPr="00F5427E" w:rsidRDefault="001827BD" w:rsidP="00D71510">
      <w:pPr>
        <w:spacing w:after="240" w:line="276" w:lineRule="auto"/>
        <w:jc w:val="both"/>
        <w:rPr>
          <w:rFonts w:ascii="Arial" w:hAnsi="Arial" w:cs="Arial"/>
          <w:bCs/>
          <w:iCs/>
          <w:color w:val="000000"/>
          <w:sz w:val="18"/>
          <w:szCs w:val="18"/>
          <w:lang w:eastAsia="zh-CN"/>
        </w:rPr>
      </w:pPr>
      <w:r w:rsidRPr="00F5427E">
        <w:rPr>
          <w:rFonts w:ascii="Arial" w:hAnsi="Arial" w:cs="Arial"/>
          <w:bCs/>
          <w:iCs/>
          <w:color w:val="000000"/>
          <w:sz w:val="18"/>
          <w:szCs w:val="18"/>
          <w:lang w:eastAsia="zh-CN"/>
        </w:rPr>
        <w:t xml:space="preserve">We have a shared responsibility wherever we are in the Department of Education and Training: to do our best together to contribute to every young child’s self-esteem, confidence and self-expression as they get ready for their transition to </w:t>
      </w:r>
      <w:proofErr w:type="gramStart"/>
      <w:r w:rsidRPr="00F5427E">
        <w:rPr>
          <w:rFonts w:ascii="Arial" w:hAnsi="Arial" w:cs="Arial"/>
          <w:bCs/>
          <w:iCs/>
          <w:color w:val="000000"/>
          <w:sz w:val="18"/>
          <w:szCs w:val="18"/>
          <w:lang w:eastAsia="zh-CN"/>
        </w:rPr>
        <w:t>Prep</w:t>
      </w:r>
      <w:proofErr w:type="gramEnd"/>
      <w:r w:rsidRPr="00F5427E">
        <w:rPr>
          <w:rFonts w:ascii="Arial" w:hAnsi="Arial" w:cs="Arial"/>
          <w:bCs/>
          <w:iCs/>
          <w:color w:val="000000"/>
          <w:sz w:val="18"/>
          <w:szCs w:val="18"/>
          <w:lang w:eastAsia="zh-CN"/>
        </w:rPr>
        <w:t>.</w:t>
      </w:r>
    </w:p>
    <w:p w:rsidR="001827BD" w:rsidRPr="00F5427E" w:rsidRDefault="001827BD" w:rsidP="00F5427E">
      <w:pPr>
        <w:spacing w:line="276" w:lineRule="auto"/>
        <w:jc w:val="both"/>
        <w:rPr>
          <w:rFonts w:ascii="Arial" w:hAnsi="Arial" w:cs="Arial"/>
          <w:b/>
          <w:sz w:val="18"/>
          <w:szCs w:val="18"/>
          <w:lang w:eastAsia="zh-CN"/>
        </w:rPr>
      </w:pPr>
      <w:r w:rsidRPr="00F5427E">
        <w:rPr>
          <w:rFonts w:ascii="Arial" w:hAnsi="Arial" w:cs="Arial"/>
          <w:b/>
          <w:sz w:val="18"/>
          <w:szCs w:val="18"/>
          <w:lang w:eastAsia="zh-CN"/>
        </w:rPr>
        <w:t xml:space="preserve">Gabrielle </w:t>
      </w:r>
      <w:r w:rsidR="00416046" w:rsidRPr="00F5427E">
        <w:rPr>
          <w:rFonts w:ascii="Arial" w:hAnsi="Arial" w:cs="Arial"/>
          <w:b/>
          <w:sz w:val="18"/>
          <w:szCs w:val="18"/>
          <w:lang w:eastAsia="zh-CN"/>
        </w:rPr>
        <w:t>Sinclair</w:t>
      </w:r>
    </w:p>
    <w:p w:rsidR="000E3FAF" w:rsidRDefault="00416046" w:rsidP="00F5427E">
      <w:pPr>
        <w:spacing w:line="276" w:lineRule="auto"/>
        <w:jc w:val="both"/>
        <w:rPr>
          <w:rFonts w:ascii="Arial" w:hAnsi="Arial" w:cs="Arial"/>
          <w:b/>
          <w:sz w:val="18"/>
          <w:szCs w:val="18"/>
          <w:lang w:eastAsia="zh-CN"/>
        </w:rPr>
      </w:pPr>
      <w:r w:rsidRPr="00F5427E">
        <w:rPr>
          <w:rFonts w:ascii="Arial" w:hAnsi="Arial" w:cs="Arial"/>
          <w:b/>
          <w:sz w:val="18"/>
          <w:szCs w:val="18"/>
          <w:lang w:eastAsia="zh-CN"/>
        </w:rPr>
        <w:t>Deputy Director General, Early Childhood Education and Care</w:t>
      </w:r>
      <w:r w:rsidRPr="00F5427E">
        <w:rPr>
          <w:rFonts w:ascii="Arial" w:hAnsi="Arial" w:cs="Arial"/>
          <w:b/>
          <w:sz w:val="18"/>
          <w:szCs w:val="18"/>
          <w:lang w:eastAsia="zh-CN"/>
        </w:rPr>
        <w:tab/>
      </w:r>
    </w:p>
    <w:p w:rsidR="00F5427E" w:rsidRPr="00D71510" w:rsidRDefault="00F5427E" w:rsidP="00F5427E">
      <w:pPr>
        <w:spacing w:line="276" w:lineRule="auto"/>
        <w:jc w:val="both"/>
        <w:rPr>
          <w:rFonts w:cs="Arial"/>
          <w:sz w:val="21"/>
          <w:szCs w:val="21"/>
        </w:rPr>
      </w:pPr>
    </w:p>
    <w:p w:rsidR="004D62D9" w:rsidRDefault="004D62D9" w:rsidP="00D71510">
      <w:pPr>
        <w:pStyle w:val="Heading2"/>
        <w:jc w:val="both"/>
        <w:rPr>
          <w:rFonts w:asciiTheme="minorHAnsi" w:hAnsiTheme="minorHAnsi" w:cs="Arial"/>
        </w:rPr>
      </w:pPr>
    </w:p>
    <w:p w:rsidR="004D62D9" w:rsidRDefault="004D62D9" w:rsidP="00D71510">
      <w:pPr>
        <w:pStyle w:val="Heading2"/>
        <w:jc w:val="both"/>
        <w:rPr>
          <w:rFonts w:asciiTheme="minorHAnsi" w:hAnsiTheme="minorHAnsi" w:cs="Arial"/>
        </w:rPr>
      </w:pPr>
    </w:p>
    <w:p w:rsidR="004D62D9" w:rsidRDefault="004D62D9" w:rsidP="004D62D9"/>
    <w:p w:rsidR="004D62D9" w:rsidRDefault="004D62D9" w:rsidP="004D62D9"/>
    <w:p w:rsidR="004D62D9" w:rsidRDefault="004D62D9" w:rsidP="004D62D9"/>
    <w:p w:rsidR="004D62D9" w:rsidRDefault="004D62D9" w:rsidP="00D71510">
      <w:pPr>
        <w:pStyle w:val="Heading2"/>
        <w:jc w:val="both"/>
        <w:rPr>
          <w:rFonts w:asciiTheme="minorHAnsi" w:hAnsiTheme="minorHAnsi" w:cs="Arial"/>
        </w:rPr>
      </w:pPr>
    </w:p>
    <w:p w:rsidR="004D62D9" w:rsidRDefault="004D62D9" w:rsidP="00D71510">
      <w:pPr>
        <w:pStyle w:val="Heading2"/>
        <w:jc w:val="both"/>
        <w:rPr>
          <w:rFonts w:asciiTheme="minorHAnsi" w:hAnsiTheme="minorHAnsi" w:cs="Arial"/>
        </w:rPr>
      </w:pPr>
    </w:p>
    <w:p w:rsidR="004D62D9" w:rsidRDefault="004D62D9" w:rsidP="004D62D9"/>
    <w:p w:rsidR="004D62D9" w:rsidRPr="004D62D9" w:rsidRDefault="004D62D9" w:rsidP="004D62D9"/>
    <w:p w:rsidR="000E3FAF" w:rsidRPr="004D62D9" w:rsidRDefault="004D62D9" w:rsidP="004D62D9">
      <w:pPr>
        <w:pStyle w:val="Heading2"/>
        <w:spacing w:line="276" w:lineRule="auto"/>
        <w:rPr>
          <w:bCs w:val="0"/>
          <w:i/>
          <w:iCs/>
          <w:lang w:eastAsia="zh-CN"/>
        </w:rPr>
      </w:pPr>
      <w:r w:rsidRPr="004D62D9">
        <w:rPr>
          <w:bCs w:val="0"/>
          <w:i/>
          <w:iCs/>
          <w:lang w:eastAsia="zh-CN"/>
        </w:rPr>
        <w:lastRenderedPageBreak/>
        <w:t>Su</w:t>
      </w:r>
      <w:r w:rsidR="009B7F27" w:rsidRPr="004D62D9">
        <w:rPr>
          <w:bCs w:val="0"/>
          <w:i/>
          <w:iCs/>
          <w:lang w:eastAsia="zh-CN"/>
        </w:rPr>
        <w:t>pporting suc</w:t>
      </w:r>
      <w:r w:rsidR="000E3FAF" w:rsidRPr="004D62D9">
        <w:rPr>
          <w:bCs w:val="0"/>
          <w:i/>
          <w:iCs/>
          <w:lang w:eastAsia="zh-CN"/>
        </w:rPr>
        <w:t>cessful transitions: School decision-making tool</w:t>
      </w:r>
    </w:p>
    <w:p w:rsidR="000E3FAF" w:rsidRPr="004D62D9" w:rsidRDefault="000E3FAF" w:rsidP="004D62D9">
      <w:pPr>
        <w:spacing w:after="200" w:line="276" w:lineRule="auto"/>
        <w:jc w:val="both"/>
        <w:rPr>
          <w:rFonts w:ascii="Arial" w:hAnsi="Arial" w:cs="Arial"/>
          <w:bCs/>
          <w:iCs/>
          <w:color w:val="000000"/>
          <w:sz w:val="18"/>
          <w:szCs w:val="18"/>
          <w:lang w:eastAsia="zh-CN"/>
        </w:rPr>
      </w:pPr>
      <w:r w:rsidRPr="004D62D9">
        <w:rPr>
          <w:rFonts w:ascii="Arial" w:hAnsi="Arial" w:cs="Arial"/>
          <w:bCs/>
          <w:iCs/>
          <w:color w:val="000000"/>
          <w:sz w:val="18"/>
          <w:szCs w:val="18"/>
          <w:lang w:eastAsia="zh-CN"/>
        </w:rPr>
        <w:t xml:space="preserve">The principles and action areas identified in the Supporting successful transitions: School decision-making tool complement the areas for action identified in </w:t>
      </w:r>
      <w:proofErr w:type="gramStart"/>
      <w:r w:rsidRPr="004D62D9">
        <w:rPr>
          <w:rFonts w:ascii="Arial" w:hAnsi="Arial" w:cs="Arial"/>
          <w:bCs/>
          <w:iCs/>
          <w:color w:val="000000"/>
          <w:sz w:val="18"/>
          <w:szCs w:val="18"/>
          <w:lang w:eastAsia="zh-CN"/>
        </w:rPr>
        <w:t>Every</w:t>
      </w:r>
      <w:proofErr w:type="gramEnd"/>
      <w:r w:rsidRPr="004D62D9">
        <w:rPr>
          <w:rFonts w:ascii="Arial" w:hAnsi="Arial" w:cs="Arial"/>
          <w:bCs/>
          <w:iCs/>
          <w:color w:val="000000"/>
          <w:sz w:val="18"/>
          <w:szCs w:val="18"/>
          <w:lang w:eastAsia="zh-CN"/>
        </w:rPr>
        <w:t xml:space="preserve"> student succeeding – State Schools Strategy 2014–2018. The tool also details the intended outcomes to be achieved for children and families as a result of engagement with the principles and action areas.</w:t>
      </w:r>
    </w:p>
    <w:p w:rsidR="000E3FAF" w:rsidRPr="004D62D9" w:rsidRDefault="000E3FAF" w:rsidP="004D62D9">
      <w:pPr>
        <w:pStyle w:val="Heading2"/>
        <w:spacing w:line="276" w:lineRule="auto"/>
        <w:rPr>
          <w:bCs w:val="0"/>
          <w:iCs/>
          <w:lang w:eastAsia="zh-CN"/>
        </w:rPr>
      </w:pPr>
      <w:r w:rsidRPr="004D62D9">
        <w:rPr>
          <w:bCs w:val="0"/>
          <w:iCs/>
          <w:lang w:eastAsia="zh-CN"/>
        </w:rPr>
        <w:t>Action area - Reciprocal relationships</w:t>
      </w:r>
    </w:p>
    <w:p w:rsidR="000E3FAF" w:rsidRPr="004D62D9" w:rsidRDefault="000E3FAF" w:rsidP="004D62D9">
      <w:pPr>
        <w:spacing w:after="200" w:line="276" w:lineRule="auto"/>
        <w:jc w:val="both"/>
        <w:rPr>
          <w:rFonts w:ascii="Arial" w:hAnsi="Arial" w:cs="Arial"/>
          <w:bCs/>
          <w:iCs/>
          <w:color w:val="000000"/>
          <w:sz w:val="18"/>
          <w:szCs w:val="18"/>
          <w:lang w:eastAsia="zh-CN"/>
        </w:rPr>
      </w:pPr>
      <w:r w:rsidRPr="004D62D9">
        <w:rPr>
          <w:rFonts w:ascii="Arial" w:hAnsi="Arial" w:cs="Arial"/>
          <w:bCs/>
          <w:iCs/>
          <w:color w:val="000000"/>
          <w:sz w:val="18"/>
          <w:szCs w:val="18"/>
          <w:lang w:eastAsia="zh-CN"/>
        </w:rPr>
        <w:t xml:space="preserve">Each action area described in the </w:t>
      </w:r>
      <w:r w:rsidR="00C92831" w:rsidRPr="004D62D9">
        <w:rPr>
          <w:rFonts w:ascii="Arial" w:hAnsi="Arial" w:cs="Arial"/>
          <w:bCs/>
          <w:iCs/>
          <w:color w:val="000000"/>
          <w:sz w:val="18"/>
          <w:szCs w:val="18"/>
          <w:lang w:eastAsia="zh-CN"/>
        </w:rPr>
        <w:t>School d</w:t>
      </w:r>
      <w:r w:rsidRPr="004D62D9">
        <w:rPr>
          <w:rFonts w:ascii="Arial" w:hAnsi="Arial" w:cs="Arial"/>
          <w:bCs/>
          <w:iCs/>
          <w:color w:val="000000"/>
          <w:sz w:val="18"/>
          <w:szCs w:val="18"/>
          <w:lang w:eastAsia="zh-CN"/>
        </w:rPr>
        <w:t xml:space="preserve">ecision-making tool is expressed as a series of reflective questions with accompanying descriptors, further explaining the intent and scope of the action areas to support school decision-making. </w:t>
      </w:r>
    </w:p>
    <w:p w:rsidR="000E3FAF" w:rsidRPr="004D62D9" w:rsidRDefault="000E3FAF" w:rsidP="004D62D9">
      <w:pPr>
        <w:spacing w:after="200" w:line="276" w:lineRule="auto"/>
        <w:jc w:val="both"/>
        <w:rPr>
          <w:rFonts w:ascii="Arial" w:hAnsi="Arial" w:cs="Arial"/>
          <w:bCs/>
          <w:iCs/>
          <w:color w:val="000000"/>
          <w:sz w:val="18"/>
          <w:szCs w:val="18"/>
          <w:lang w:eastAsia="zh-CN"/>
        </w:rPr>
      </w:pPr>
      <w:r w:rsidRPr="004D62D9">
        <w:rPr>
          <w:rFonts w:ascii="Arial" w:hAnsi="Arial" w:cs="Arial"/>
          <w:bCs/>
          <w:iCs/>
          <w:color w:val="000000"/>
          <w:sz w:val="18"/>
          <w:szCs w:val="18"/>
          <w:lang w:eastAsia="zh-CN"/>
        </w:rPr>
        <w:t xml:space="preserve">Shining the spotlight on relationships for this edition of the Supporting successful transitions newsletter, below are the reflective questions and descriptors found on page 7 of the </w:t>
      </w:r>
      <w:r w:rsidR="00C92831" w:rsidRPr="004D62D9">
        <w:rPr>
          <w:rFonts w:ascii="Arial" w:hAnsi="Arial" w:cs="Arial"/>
          <w:bCs/>
          <w:iCs/>
          <w:color w:val="000000"/>
          <w:sz w:val="18"/>
          <w:szCs w:val="18"/>
          <w:lang w:eastAsia="zh-CN"/>
        </w:rPr>
        <w:t>School d</w:t>
      </w:r>
      <w:r w:rsidRPr="004D62D9">
        <w:rPr>
          <w:rFonts w:ascii="Arial" w:hAnsi="Arial" w:cs="Arial"/>
          <w:bCs/>
          <w:iCs/>
          <w:color w:val="000000"/>
          <w:sz w:val="18"/>
          <w:szCs w:val="18"/>
          <w:lang w:eastAsia="zh-CN"/>
        </w:rPr>
        <w:t xml:space="preserve">ecision-making </w:t>
      </w:r>
      <w:r w:rsidR="009B7F27" w:rsidRPr="004D62D9">
        <w:rPr>
          <w:rFonts w:ascii="Arial" w:hAnsi="Arial" w:cs="Arial"/>
          <w:bCs/>
          <w:iCs/>
          <w:color w:val="000000"/>
          <w:sz w:val="18"/>
          <w:szCs w:val="18"/>
          <w:lang w:eastAsia="zh-CN"/>
        </w:rPr>
        <w:t>tool. Use</w:t>
      </w:r>
      <w:r w:rsidR="00C92831" w:rsidRPr="004D62D9">
        <w:rPr>
          <w:rFonts w:ascii="Arial" w:hAnsi="Arial" w:cs="Arial"/>
          <w:bCs/>
          <w:iCs/>
          <w:color w:val="000000"/>
          <w:sz w:val="18"/>
          <w:szCs w:val="18"/>
          <w:lang w:eastAsia="zh-CN"/>
        </w:rPr>
        <w:t xml:space="preserve"> these questions and descriptions to prompt ideas for strengthening your school’s transition strategies as you explore the information provided in this newsletter.  </w:t>
      </w:r>
    </w:p>
    <w:tbl>
      <w:tblPr>
        <w:tblStyle w:val="MediumGrid3-Accent3"/>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920"/>
        <w:gridCol w:w="3920"/>
      </w:tblGrid>
      <w:tr w:rsidR="000E3FAF" w:rsidRPr="00D71510" w:rsidTr="00D71510">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361" w:type="dxa"/>
            <w:shd w:val="clear" w:color="auto" w:fill="76923C" w:themeFill="accent3" w:themeFillShade="BF"/>
            <w:vAlign w:val="center"/>
          </w:tcPr>
          <w:p w:rsidR="000E3FAF" w:rsidRPr="004D62D9" w:rsidRDefault="000E3FAF" w:rsidP="004D62D9">
            <w:pPr>
              <w:jc w:val="center"/>
              <w:rPr>
                <w:rFonts w:ascii="Arial" w:hAnsi="Arial" w:cs="Arial"/>
                <w:iCs/>
                <w:color w:val="000000"/>
                <w:sz w:val="18"/>
                <w:szCs w:val="18"/>
                <w:lang w:eastAsia="zh-CN"/>
              </w:rPr>
            </w:pPr>
            <w:r w:rsidRPr="004D62D9">
              <w:rPr>
                <w:rFonts w:ascii="Arial" w:hAnsi="Arial" w:cs="Arial"/>
                <w:iCs/>
                <w:color w:val="000000"/>
                <w:sz w:val="18"/>
                <w:szCs w:val="18"/>
                <w:lang w:eastAsia="zh-CN"/>
              </w:rPr>
              <w:t>ACTION AREA</w:t>
            </w:r>
          </w:p>
        </w:tc>
        <w:tc>
          <w:tcPr>
            <w:tcW w:w="3920" w:type="dxa"/>
            <w:shd w:val="clear" w:color="auto" w:fill="76923C" w:themeFill="accent3" w:themeFillShade="BF"/>
            <w:vAlign w:val="center"/>
          </w:tcPr>
          <w:p w:rsidR="000E3FAF" w:rsidRPr="00D71510" w:rsidRDefault="000E3FAF" w:rsidP="00D71510">
            <w:pPr>
              <w:cnfStyle w:val="100000000000" w:firstRow="1" w:lastRow="0" w:firstColumn="0" w:lastColumn="0" w:oddVBand="0" w:evenVBand="0" w:oddHBand="0" w:evenHBand="0" w:firstRowFirstColumn="0" w:firstRowLastColumn="0" w:lastRowFirstColumn="0" w:lastRowLastColumn="0"/>
              <w:rPr>
                <w:rFonts w:cs="Arial"/>
                <w:color w:val="auto"/>
                <w:sz w:val="21"/>
                <w:szCs w:val="21"/>
              </w:rPr>
            </w:pPr>
            <w:r w:rsidRPr="00D71510">
              <w:rPr>
                <w:rFonts w:cs="Arial"/>
                <w:color w:val="auto"/>
                <w:sz w:val="21"/>
                <w:szCs w:val="21"/>
              </w:rPr>
              <w:t>REFLECTIVE QUESTIONS</w:t>
            </w:r>
          </w:p>
        </w:tc>
        <w:tc>
          <w:tcPr>
            <w:tcW w:w="3920" w:type="dxa"/>
            <w:shd w:val="clear" w:color="auto" w:fill="76923C" w:themeFill="accent3" w:themeFillShade="BF"/>
            <w:vAlign w:val="center"/>
          </w:tcPr>
          <w:p w:rsidR="000E3FAF" w:rsidRPr="00D71510" w:rsidRDefault="000E3FAF" w:rsidP="00D71510">
            <w:pPr>
              <w:cnfStyle w:val="100000000000" w:firstRow="1" w:lastRow="0" w:firstColumn="0" w:lastColumn="0" w:oddVBand="0" w:evenVBand="0" w:oddHBand="0" w:evenHBand="0" w:firstRowFirstColumn="0" w:firstRowLastColumn="0" w:lastRowFirstColumn="0" w:lastRowLastColumn="0"/>
              <w:rPr>
                <w:rFonts w:cs="Arial"/>
                <w:color w:val="auto"/>
                <w:sz w:val="21"/>
                <w:szCs w:val="21"/>
              </w:rPr>
            </w:pPr>
            <w:r w:rsidRPr="00D71510">
              <w:rPr>
                <w:rFonts w:cs="Arial"/>
                <w:color w:val="auto"/>
                <w:sz w:val="21"/>
                <w:szCs w:val="21"/>
              </w:rPr>
              <w:t>DESCRIPTORS</w:t>
            </w:r>
          </w:p>
        </w:tc>
      </w:tr>
      <w:tr w:rsidR="000E3FAF" w:rsidRPr="00D71510" w:rsidTr="00D71510">
        <w:trPr>
          <w:cnfStyle w:val="000000100000" w:firstRow="0" w:lastRow="0" w:firstColumn="0" w:lastColumn="0" w:oddVBand="0" w:evenVBand="0" w:oddHBand="1" w:evenHBand="0" w:firstRowFirstColumn="0" w:firstRowLastColumn="0" w:lastRowFirstColumn="0" w:lastRowLastColumn="0"/>
          <w:trHeight w:val="351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E3FAF" w:rsidRPr="004D62D9" w:rsidRDefault="000E3FAF" w:rsidP="004D62D9">
            <w:pPr>
              <w:jc w:val="center"/>
              <w:rPr>
                <w:rFonts w:ascii="Arial" w:hAnsi="Arial" w:cs="Arial"/>
                <w:iCs/>
                <w:color w:val="000000"/>
                <w:sz w:val="18"/>
                <w:szCs w:val="18"/>
                <w:lang w:eastAsia="zh-CN"/>
              </w:rPr>
            </w:pPr>
            <w:r w:rsidRPr="004D62D9">
              <w:rPr>
                <w:rFonts w:ascii="Arial" w:hAnsi="Arial" w:cs="Arial"/>
                <w:iCs/>
                <w:color w:val="000000"/>
                <w:sz w:val="18"/>
                <w:szCs w:val="18"/>
                <w:lang w:eastAsia="zh-CN"/>
              </w:rPr>
              <w:t>Reciprocal relationships</w:t>
            </w:r>
          </w:p>
        </w:tc>
        <w:tc>
          <w:tcPr>
            <w:tcW w:w="3920" w:type="dxa"/>
            <w:vAlign w:val="center"/>
          </w:tcPr>
          <w:p w:rsidR="000E3FAF" w:rsidRPr="00D71510" w:rsidRDefault="000E3FAF" w:rsidP="00D71510">
            <w:pPr>
              <w:pStyle w:val="ListParagraph"/>
              <w:numPr>
                <w:ilvl w:val="0"/>
                <w:numId w:val="1"/>
              </w:numPr>
              <w:spacing w:after="120" w:line="240" w:lineRule="auto"/>
              <w:ind w:left="317" w:hanging="317"/>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How can my school better engage respectfully with children and families?</w:t>
            </w:r>
          </w:p>
          <w:p w:rsidR="000E3FAF" w:rsidRPr="00D71510" w:rsidRDefault="000E3FAF" w:rsidP="00D71510">
            <w:pPr>
              <w:pStyle w:val="ListParagraph"/>
              <w:numPr>
                <w:ilvl w:val="0"/>
                <w:numId w:val="1"/>
              </w:numPr>
              <w:spacing w:after="120" w:line="240" w:lineRule="auto"/>
              <w:ind w:left="317" w:hanging="317"/>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How does my school engage with local ECEC service providers?</w:t>
            </w:r>
          </w:p>
          <w:p w:rsidR="000E3FAF" w:rsidRPr="00D71510" w:rsidRDefault="000E3FAF" w:rsidP="00D71510">
            <w:pPr>
              <w:pStyle w:val="ListParagraph"/>
              <w:numPr>
                <w:ilvl w:val="0"/>
                <w:numId w:val="1"/>
              </w:numPr>
              <w:spacing w:after="120" w:line="240" w:lineRule="auto"/>
              <w:ind w:left="317" w:hanging="317"/>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What information can we share that will support children’s transitions?</w:t>
            </w:r>
          </w:p>
          <w:p w:rsidR="000E3FAF" w:rsidRPr="00D71510" w:rsidRDefault="000E3FAF" w:rsidP="00D71510">
            <w:pPr>
              <w:pStyle w:val="ListParagraph"/>
              <w:numPr>
                <w:ilvl w:val="0"/>
                <w:numId w:val="1"/>
              </w:numPr>
              <w:spacing w:after="120" w:line="240" w:lineRule="auto"/>
              <w:ind w:left="317" w:hanging="317"/>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In what ways do I draw on the knowledge of community leaders and elders to enhance relationships?</w:t>
            </w:r>
          </w:p>
          <w:p w:rsidR="000E3FAF" w:rsidRPr="00D71510" w:rsidRDefault="000E3FAF" w:rsidP="00D71510">
            <w:pPr>
              <w:pStyle w:val="ListParagraph"/>
              <w:numPr>
                <w:ilvl w:val="0"/>
                <w:numId w:val="1"/>
              </w:numPr>
              <w:spacing w:after="120" w:line="240" w:lineRule="auto"/>
              <w:ind w:left="317" w:hanging="317"/>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How can my school initiate opportunities to collaborate with other local schools and early childhood teachers?</w:t>
            </w:r>
          </w:p>
        </w:tc>
        <w:tc>
          <w:tcPr>
            <w:tcW w:w="3920" w:type="dxa"/>
            <w:vAlign w:val="center"/>
          </w:tcPr>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Families know their children best.</w:t>
            </w:r>
          </w:p>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ECEC services hold a wealth of knowledge about children and their families.</w:t>
            </w:r>
          </w:p>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Reaching out involves listening without judging.</w:t>
            </w:r>
          </w:p>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Being involved outside the school breaks down barriers.</w:t>
            </w:r>
          </w:p>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Being a participant, not a leader, in some contexts builds relationships.</w:t>
            </w:r>
          </w:p>
          <w:p w:rsidR="000E3FAF" w:rsidRPr="00D71510" w:rsidRDefault="000E3FAF" w:rsidP="00D71510">
            <w:pPr>
              <w:pStyle w:val="ListParagraph"/>
              <w:numPr>
                <w:ilvl w:val="0"/>
                <w:numId w:val="1"/>
              </w:numPr>
              <w:spacing w:after="120" w:line="240" w:lineRule="auto"/>
              <w:ind w:left="317" w:hanging="283"/>
              <w:cnfStyle w:val="000000100000" w:firstRow="0" w:lastRow="0" w:firstColumn="0" w:lastColumn="0" w:oddVBand="0" w:evenVBand="0" w:oddHBand="1" w:evenHBand="0" w:firstRowFirstColumn="0" w:firstRowLastColumn="0" w:lastRowFirstColumn="0" w:lastRowLastColumn="0"/>
              <w:rPr>
                <w:rFonts w:cs="Arial"/>
                <w:sz w:val="21"/>
                <w:szCs w:val="21"/>
              </w:rPr>
            </w:pPr>
            <w:r w:rsidRPr="00D71510">
              <w:rPr>
                <w:rFonts w:cs="Arial"/>
                <w:sz w:val="21"/>
                <w:szCs w:val="21"/>
              </w:rPr>
              <w:t>Sharing perspectives, not giving answers, builds trust.</w:t>
            </w:r>
          </w:p>
        </w:tc>
      </w:tr>
    </w:tbl>
    <w:p w:rsidR="000E3FAF" w:rsidRPr="004D62D9" w:rsidRDefault="000E3FAF" w:rsidP="004D62D9">
      <w:pPr>
        <w:pStyle w:val="Heading2"/>
        <w:spacing w:before="0" w:after="240" w:line="276" w:lineRule="auto"/>
        <w:rPr>
          <w:bCs w:val="0"/>
          <w:iCs/>
          <w:lang w:eastAsia="zh-CN"/>
        </w:rPr>
      </w:pPr>
      <w:r w:rsidRPr="004D62D9">
        <w:rPr>
          <w:bCs w:val="0"/>
          <w:iCs/>
          <w:lang w:eastAsia="zh-CN"/>
        </w:rPr>
        <w:t>Get in touch</w:t>
      </w:r>
    </w:p>
    <w:p w:rsidR="000E3FAF" w:rsidRPr="004D62D9" w:rsidRDefault="000E3FAF" w:rsidP="004D62D9">
      <w:pPr>
        <w:spacing w:after="240"/>
        <w:jc w:val="both"/>
        <w:rPr>
          <w:rFonts w:ascii="Arial" w:hAnsi="Arial" w:cs="Arial"/>
          <w:bCs/>
          <w:iCs/>
          <w:color w:val="000000"/>
          <w:sz w:val="18"/>
          <w:szCs w:val="18"/>
          <w:lang w:eastAsia="zh-CN"/>
        </w:rPr>
      </w:pPr>
      <w:r w:rsidRPr="004D62D9">
        <w:rPr>
          <w:rFonts w:ascii="Arial" w:hAnsi="Arial" w:cs="Arial"/>
          <w:bCs/>
          <w:iCs/>
          <w:color w:val="000000"/>
          <w:sz w:val="18"/>
          <w:szCs w:val="18"/>
          <w:lang w:eastAsia="zh-CN"/>
        </w:rPr>
        <w:t>For any questions about this newsletter</w:t>
      </w:r>
      <w:r w:rsidR="009B7F27" w:rsidRPr="004D62D9">
        <w:rPr>
          <w:rFonts w:ascii="Arial" w:hAnsi="Arial" w:cs="Arial"/>
          <w:bCs/>
          <w:iCs/>
          <w:color w:val="000000"/>
          <w:sz w:val="18"/>
          <w:szCs w:val="18"/>
          <w:lang w:eastAsia="zh-CN"/>
        </w:rPr>
        <w:t xml:space="preserve"> contact</w:t>
      </w:r>
      <w:r w:rsidRPr="004D62D9">
        <w:rPr>
          <w:rFonts w:ascii="Arial" w:hAnsi="Arial" w:cs="Arial"/>
          <w:bCs/>
          <w:iCs/>
          <w:color w:val="000000"/>
          <w:sz w:val="18"/>
          <w:szCs w:val="18"/>
          <w:lang w:eastAsia="zh-CN"/>
        </w:rPr>
        <w:t xml:space="preserve"> the Early Learning Pathways team on 332 86704 or </w:t>
      </w:r>
      <w:hyperlink r:id="rId6" w:history="1">
        <w:r w:rsidRPr="004D62D9">
          <w:rPr>
            <w:rFonts w:ascii="Arial" w:hAnsi="Arial"/>
            <w:bCs/>
            <w:iCs/>
            <w:color w:val="000000"/>
            <w:sz w:val="18"/>
            <w:szCs w:val="18"/>
            <w:lang w:eastAsia="zh-CN"/>
          </w:rPr>
          <w:t>Transitions@dete.qld.gov.au</w:t>
        </w:r>
      </w:hyperlink>
      <w:r w:rsidRPr="004D62D9">
        <w:rPr>
          <w:rFonts w:ascii="Arial" w:hAnsi="Arial" w:cs="Arial"/>
          <w:bCs/>
          <w:iCs/>
          <w:color w:val="000000"/>
          <w:sz w:val="18"/>
          <w:szCs w:val="18"/>
          <w:lang w:eastAsia="zh-CN"/>
        </w:rPr>
        <w:t xml:space="preserve"> </w:t>
      </w:r>
    </w:p>
    <w:p w:rsidR="000E3FAF" w:rsidRPr="004D62D9" w:rsidRDefault="000E3FAF" w:rsidP="004D62D9">
      <w:pPr>
        <w:pStyle w:val="Heading2"/>
        <w:spacing w:before="0" w:after="240" w:line="276" w:lineRule="auto"/>
        <w:rPr>
          <w:bCs w:val="0"/>
          <w:iCs/>
          <w:lang w:eastAsia="zh-CN"/>
        </w:rPr>
      </w:pPr>
      <w:r w:rsidRPr="004D62D9">
        <w:rPr>
          <w:bCs w:val="0"/>
          <w:iCs/>
          <w:lang w:eastAsia="zh-CN"/>
        </w:rPr>
        <w:t xml:space="preserve">More support </w:t>
      </w:r>
    </w:p>
    <w:p w:rsidR="000E3FAF" w:rsidRPr="004D62D9" w:rsidRDefault="000E3FAF" w:rsidP="00D71510">
      <w:pPr>
        <w:jc w:val="both"/>
        <w:rPr>
          <w:rFonts w:ascii="Arial" w:hAnsi="Arial" w:cs="Arial"/>
          <w:bCs/>
          <w:iCs/>
          <w:color w:val="000000"/>
          <w:sz w:val="18"/>
          <w:szCs w:val="18"/>
          <w:lang w:eastAsia="zh-CN"/>
        </w:rPr>
      </w:pPr>
      <w:r w:rsidRPr="004D62D9">
        <w:rPr>
          <w:rFonts w:ascii="Arial" w:hAnsi="Arial" w:cs="Arial"/>
          <w:bCs/>
          <w:iCs/>
          <w:color w:val="000000"/>
          <w:sz w:val="18"/>
          <w:szCs w:val="18"/>
          <w:lang w:eastAsia="zh-CN"/>
        </w:rPr>
        <w:t xml:space="preserve">Access information and a range of resources including video vignettes via the Successful transitions web pages on the ECEC website: </w:t>
      </w:r>
      <w:hyperlink r:id="rId7" w:history="1">
        <w:r w:rsidRPr="004D62D9">
          <w:rPr>
            <w:rFonts w:ascii="Arial" w:hAnsi="Arial"/>
            <w:bCs/>
            <w:iCs/>
            <w:color w:val="000000"/>
            <w:sz w:val="18"/>
            <w:szCs w:val="18"/>
            <w:lang w:eastAsia="zh-CN"/>
          </w:rPr>
          <w:t>www.qld.gov.au/transitiontoschool</w:t>
        </w:r>
      </w:hyperlink>
    </w:p>
    <w:p w:rsidR="000E3FAF" w:rsidRPr="004D62D9" w:rsidRDefault="000E3FAF" w:rsidP="00D71510">
      <w:pPr>
        <w:jc w:val="both"/>
        <w:rPr>
          <w:rFonts w:ascii="Arial" w:hAnsi="Arial" w:cs="Arial"/>
          <w:bCs/>
          <w:iCs/>
          <w:color w:val="000000"/>
          <w:sz w:val="18"/>
          <w:szCs w:val="18"/>
          <w:lang w:eastAsia="zh-CN"/>
        </w:rPr>
      </w:pPr>
    </w:p>
    <w:p w:rsidR="000B736D" w:rsidRPr="004D62D9" w:rsidRDefault="000B736D" w:rsidP="00D71510">
      <w:pPr>
        <w:jc w:val="both"/>
        <w:rPr>
          <w:rFonts w:ascii="Arial" w:hAnsi="Arial" w:cs="Arial"/>
          <w:bCs/>
          <w:iCs/>
          <w:color w:val="000000"/>
          <w:sz w:val="18"/>
          <w:szCs w:val="18"/>
          <w:lang w:eastAsia="zh-CN"/>
        </w:rPr>
      </w:pPr>
    </w:p>
    <w:sectPr w:rsidR="000B736D" w:rsidRPr="004D62D9" w:rsidSect="006F4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5D06"/>
    <w:multiLevelType w:val="hybridMultilevel"/>
    <w:tmpl w:val="0DA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2"/>
  </w:compat>
  <w:rsids>
    <w:rsidRoot w:val="000E3FAF"/>
    <w:rsid w:val="000369E1"/>
    <w:rsid w:val="00042EB5"/>
    <w:rsid w:val="00065645"/>
    <w:rsid w:val="000B736D"/>
    <w:rsid w:val="000D2242"/>
    <w:rsid w:val="000E3FAF"/>
    <w:rsid w:val="000E726B"/>
    <w:rsid w:val="00103EC2"/>
    <w:rsid w:val="00146748"/>
    <w:rsid w:val="001827BD"/>
    <w:rsid w:val="001E06DA"/>
    <w:rsid w:val="001E4042"/>
    <w:rsid w:val="001F7006"/>
    <w:rsid w:val="00255B48"/>
    <w:rsid w:val="002A0ED4"/>
    <w:rsid w:val="00355CDC"/>
    <w:rsid w:val="003D7E63"/>
    <w:rsid w:val="003E5A17"/>
    <w:rsid w:val="00416046"/>
    <w:rsid w:val="004B0BE9"/>
    <w:rsid w:val="004D62D9"/>
    <w:rsid w:val="00542504"/>
    <w:rsid w:val="005D72EB"/>
    <w:rsid w:val="006F49EF"/>
    <w:rsid w:val="007136C3"/>
    <w:rsid w:val="00764B74"/>
    <w:rsid w:val="00786CC3"/>
    <w:rsid w:val="007D1092"/>
    <w:rsid w:val="009A05A7"/>
    <w:rsid w:val="009B7F27"/>
    <w:rsid w:val="00A36093"/>
    <w:rsid w:val="00AE7DBF"/>
    <w:rsid w:val="00B325FE"/>
    <w:rsid w:val="00B40805"/>
    <w:rsid w:val="00B9779F"/>
    <w:rsid w:val="00BC086C"/>
    <w:rsid w:val="00C863F0"/>
    <w:rsid w:val="00C92831"/>
    <w:rsid w:val="00D71510"/>
    <w:rsid w:val="00D7175C"/>
    <w:rsid w:val="00D82F73"/>
    <w:rsid w:val="00DB79E8"/>
    <w:rsid w:val="00DC5AD8"/>
    <w:rsid w:val="00DF5B27"/>
    <w:rsid w:val="00E26527"/>
    <w:rsid w:val="00F1043D"/>
    <w:rsid w:val="00F14C32"/>
    <w:rsid w:val="00F416B2"/>
    <w:rsid w:val="00F542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AF"/>
    <w:pPr>
      <w:spacing w:after="0" w:line="240" w:lineRule="auto"/>
    </w:pPr>
    <w:rPr>
      <w:sz w:val="24"/>
      <w:szCs w:val="24"/>
      <w:lang w:eastAsia="en-US"/>
    </w:rPr>
  </w:style>
  <w:style w:type="paragraph" w:styleId="Heading1">
    <w:name w:val="heading 1"/>
    <w:basedOn w:val="Normal"/>
    <w:next w:val="Normal"/>
    <w:link w:val="Heading1Char"/>
    <w:uiPriority w:val="9"/>
    <w:qFormat/>
    <w:rsid w:val="001E4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40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3FAF"/>
    <w:rPr>
      <w:rFonts w:cs="Times New Roman"/>
      <w:sz w:val="16"/>
      <w:szCs w:val="16"/>
    </w:rPr>
  </w:style>
  <w:style w:type="paragraph" w:styleId="CommentText">
    <w:name w:val="annotation text"/>
    <w:basedOn w:val="Normal"/>
    <w:link w:val="CommentTextChar"/>
    <w:uiPriority w:val="99"/>
    <w:semiHidden/>
    <w:unhideWhenUsed/>
    <w:rsid w:val="000E3FAF"/>
    <w:rPr>
      <w:sz w:val="20"/>
      <w:szCs w:val="20"/>
    </w:rPr>
  </w:style>
  <w:style w:type="character" w:customStyle="1" w:styleId="CommentTextChar">
    <w:name w:val="Comment Text Char"/>
    <w:basedOn w:val="DefaultParagraphFont"/>
    <w:link w:val="CommentText"/>
    <w:uiPriority w:val="99"/>
    <w:semiHidden/>
    <w:locked/>
    <w:rsid w:val="000E3FAF"/>
    <w:rPr>
      <w:rFonts w:eastAsia="Times New Roman" w:cs="Times New Roman"/>
      <w:sz w:val="20"/>
      <w:szCs w:val="20"/>
      <w:lang w:val="x-none" w:eastAsia="en-US"/>
    </w:rPr>
  </w:style>
  <w:style w:type="paragraph" w:styleId="BalloonText">
    <w:name w:val="Balloon Text"/>
    <w:basedOn w:val="Normal"/>
    <w:link w:val="BalloonTextChar"/>
    <w:uiPriority w:val="99"/>
    <w:semiHidden/>
    <w:unhideWhenUsed/>
    <w:rsid w:val="000E3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FAF"/>
    <w:rPr>
      <w:rFonts w:ascii="Tahoma" w:hAnsi="Tahoma" w:cs="Tahoma"/>
      <w:sz w:val="16"/>
      <w:szCs w:val="16"/>
      <w:lang w:val="x-none" w:eastAsia="en-US"/>
    </w:rPr>
  </w:style>
  <w:style w:type="paragraph" w:styleId="ListParagraph">
    <w:name w:val="List Paragraph"/>
    <w:basedOn w:val="Normal"/>
    <w:uiPriority w:val="34"/>
    <w:qFormat/>
    <w:rsid w:val="000E3FAF"/>
    <w:pPr>
      <w:spacing w:after="200" w:line="276" w:lineRule="auto"/>
      <w:ind w:left="720"/>
      <w:contextualSpacing/>
    </w:pPr>
    <w:rPr>
      <w:sz w:val="22"/>
      <w:szCs w:val="22"/>
      <w:lang w:eastAsia="zh-CN"/>
    </w:rPr>
  </w:style>
  <w:style w:type="character" w:styleId="Hyperlink">
    <w:name w:val="Hyperlink"/>
    <w:basedOn w:val="DefaultParagraphFont"/>
    <w:uiPriority w:val="99"/>
    <w:unhideWhenUsed/>
    <w:rsid w:val="000E3FAF"/>
    <w:rPr>
      <w:rFonts w:cs="Times New Roman"/>
      <w:color w:val="0000FF" w:themeColor="hyperlink"/>
      <w:u w:val="single"/>
    </w:rPr>
  </w:style>
  <w:style w:type="table" w:styleId="MediumGrid3-Accent3">
    <w:name w:val="Medium Grid 3 Accent 3"/>
    <w:basedOn w:val="TableNormal"/>
    <w:uiPriority w:val="69"/>
    <w:rsid w:val="000E3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1Char">
    <w:name w:val="Heading 1 Char"/>
    <w:basedOn w:val="DefaultParagraphFont"/>
    <w:link w:val="Heading1"/>
    <w:uiPriority w:val="9"/>
    <w:rsid w:val="001E404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E404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ld.gov.au/transitiontoschoo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itions@dete.qld.gov.a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2023-08-10T23:08:27+00:00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2023-08-10T23:08:28+00:00</PPLastReviewedDate>
    <PPSubmittedDate xmlns="687c0ba5-25f6-467d-a8e9-4285ca7a69ae">2023-08-10T23:07:59+00:00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696A052-3138-4C67-96E9-B0EE27B04126}"/>
</file>

<file path=customXml/itemProps2.xml><?xml version="1.0" encoding="utf-8"?>
<ds:datastoreItem xmlns:ds="http://schemas.openxmlformats.org/officeDocument/2006/customXml" ds:itemID="{FD3414C0-A188-4E3E-AAC3-7ABDE0648096}"/>
</file>

<file path=customXml/itemProps3.xml><?xml version="1.0" encoding="utf-8"?>
<ds:datastoreItem xmlns:ds="http://schemas.openxmlformats.org/officeDocument/2006/customXml" ds:itemID="{001FFD2B-16EB-45CB-8FC7-4231941499FE}"/>
</file>

<file path=docProps/app.xml><?xml version="1.0" encoding="utf-8"?>
<Properties xmlns="http://schemas.openxmlformats.org/officeDocument/2006/extended-properties" xmlns:vt="http://schemas.openxmlformats.org/officeDocument/2006/docPropsVTypes">
  <Template>Normal.dotm</Template>
  <TotalTime>18</TotalTime>
  <Pages>3</Pages>
  <Words>1042</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successful transitions newsletter - edition 2 2015</dc:title>
  <dc:subject/>
  <dc:creator>FRAZELL, Wendy</dc:creator>
  <cp:keywords/>
  <dc:description/>
  <cp:lastModifiedBy>SAUNDERS, David</cp:lastModifiedBy>
  <cp:revision>5</cp:revision>
  <dcterms:created xsi:type="dcterms:W3CDTF">2016-03-16T01:59:00Z</dcterms:created>
  <dcterms:modified xsi:type="dcterms:W3CDTF">2017-02-08T23:37:00Z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