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521"/>
        <w:gridCol w:w="1508"/>
        <w:gridCol w:w="4981"/>
      </w:tblGrid>
      <w:tr w:rsidR="00E3381A" w:rsidRPr="00A11B66" w14:paraId="7190CB1E" w14:textId="77777777" w:rsidTr="009D3F60">
        <w:trPr>
          <w:tblCellSpacing w:w="20" w:type="dxa"/>
        </w:trPr>
        <w:tc>
          <w:tcPr>
            <w:tcW w:w="4956" w:type="pct"/>
            <w:gridSpan w:val="3"/>
            <w:tcBorders>
              <w:top w:val="inset" w:sz="6" w:space="0" w:color="auto"/>
              <w:left w:val="inset" w:sz="6" w:space="0" w:color="auto"/>
              <w:bottom w:val="inset" w:sz="6" w:space="0" w:color="auto"/>
              <w:right w:val="inset" w:sz="6" w:space="0" w:color="auto"/>
            </w:tcBorders>
            <w:shd w:val="clear" w:color="auto" w:fill="CCCCCC"/>
            <w:hideMark/>
          </w:tcPr>
          <w:p w14:paraId="73432289" w14:textId="77777777" w:rsidR="00E3381A" w:rsidRPr="00A11B66" w:rsidRDefault="00E3381A" w:rsidP="009D3F60">
            <w:pPr>
              <w:pStyle w:val="NormalWeb"/>
              <w:jc w:val="center"/>
              <w:rPr>
                <w:rFonts w:ascii="Arial" w:hAnsi="Arial" w:cs="Arial"/>
                <w:b/>
                <w:sz w:val="20"/>
                <w:szCs w:val="20"/>
              </w:rPr>
            </w:pPr>
            <w:r w:rsidRPr="00A11B66">
              <w:rPr>
                <w:rFonts w:ascii="Arial" w:hAnsi="Arial" w:cs="Arial"/>
                <w:b/>
                <w:sz w:val="20"/>
                <w:szCs w:val="20"/>
              </w:rPr>
              <w:t>Details</w:t>
            </w:r>
          </w:p>
        </w:tc>
      </w:tr>
      <w:tr w:rsidR="004D492B" w:rsidRPr="00A11B66" w14:paraId="45666CBC" w14:textId="77777777" w:rsidTr="000F4A1B">
        <w:trPr>
          <w:trHeight w:val="577"/>
          <w:tblCellSpacing w:w="20" w:type="dxa"/>
        </w:trPr>
        <w:tc>
          <w:tcPr>
            <w:tcW w:w="1378" w:type="pct"/>
            <w:vMerge w:val="restart"/>
            <w:tcBorders>
              <w:top w:val="inset" w:sz="6" w:space="0" w:color="auto"/>
              <w:left w:val="inset" w:sz="6" w:space="0" w:color="auto"/>
              <w:right w:val="inset" w:sz="6" w:space="0" w:color="auto"/>
            </w:tcBorders>
            <w:shd w:val="clear" w:color="auto" w:fill="E6E6E6"/>
          </w:tcPr>
          <w:p w14:paraId="5ACD26B9" w14:textId="77777777" w:rsidR="004D492B" w:rsidRPr="00BA5A8A" w:rsidRDefault="004D492B" w:rsidP="004D492B">
            <w:pPr>
              <w:pStyle w:val="NormalWeb"/>
              <w:numPr>
                <w:ilvl w:val="0"/>
                <w:numId w:val="1"/>
              </w:numPr>
              <w:spacing w:before="0" w:beforeAutospacing="0" w:after="0" w:afterAutospacing="0"/>
              <w:rPr>
                <w:rFonts w:ascii="Arial" w:eastAsiaTheme="minorEastAsia" w:hAnsi="Arial" w:cs="Arial"/>
                <w:sz w:val="22"/>
                <w:szCs w:val="22"/>
              </w:rPr>
            </w:pPr>
            <w:r w:rsidRPr="00BA5A8A">
              <w:rPr>
                <w:rFonts w:ascii="Arial" w:eastAsiaTheme="minorEastAsia" w:hAnsi="Arial" w:cs="Arial"/>
                <w:sz w:val="22"/>
                <w:szCs w:val="22"/>
              </w:rPr>
              <w:t>Details of person /entity to whom the enforcement action relates</w:t>
            </w:r>
          </w:p>
        </w:tc>
        <w:tc>
          <w:tcPr>
            <w:tcW w:w="822" w:type="pct"/>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0B53658C" w14:textId="77777777" w:rsidR="004D492B" w:rsidRPr="006C451F" w:rsidRDefault="004D492B" w:rsidP="004D492B">
            <w:pPr>
              <w:pStyle w:val="NormalWeb"/>
              <w:rPr>
                <w:rFonts w:ascii="Arial" w:hAnsi="Arial" w:cs="Arial"/>
                <w:sz w:val="22"/>
                <w:szCs w:val="22"/>
              </w:rPr>
            </w:pPr>
            <w:r>
              <w:rPr>
                <w:rFonts w:ascii="Arial" w:hAnsi="Arial" w:cs="Arial"/>
                <w:sz w:val="22"/>
                <w:szCs w:val="22"/>
              </w:rPr>
              <w:t>Approved Provider</w:t>
            </w:r>
          </w:p>
        </w:tc>
        <w:tc>
          <w:tcPr>
            <w:tcW w:w="2710" w:type="pct"/>
            <w:tcBorders>
              <w:top w:val="inset" w:sz="6" w:space="0" w:color="auto"/>
              <w:left w:val="inset" w:sz="6" w:space="0" w:color="auto"/>
              <w:bottom w:val="inset" w:sz="6" w:space="0" w:color="auto"/>
              <w:right w:val="inset" w:sz="6" w:space="0" w:color="auto"/>
            </w:tcBorders>
          </w:tcPr>
          <w:p w14:paraId="196B5346" w14:textId="7F7DDD3B" w:rsidR="004D492B" w:rsidRPr="006C451F" w:rsidRDefault="004D492B" w:rsidP="004D492B">
            <w:pPr>
              <w:pStyle w:val="NormalWeb"/>
              <w:rPr>
                <w:rFonts w:ascii="Arial" w:hAnsi="Arial" w:cs="Arial"/>
                <w:sz w:val="22"/>
                <w:szCs w:val="22"/>
              </w:rPr>
            </w:pPr>
            <w:r w:rsidRPr="00962410">
              <w:rPr>
                <w:rFonts w:ascii="Arial" w:hAnsi="Arial" w:cs="Arial"/>
                <w:sz w:val="22"/>
                <w:szCs w:val="22"/>
              </w:rPr>
              <w:t xml:space="preserve">Grans &amp; </w:t>
            </w:r>
            <w:proofErr w:type="spellStart"/>
            <w:r w:rsidRPr="00962410">
              <w:rPr>
                <w:rFonts w:ascii="Arial" w:hAnsi="Arial" w:cs="Arial"/>
                <w:sz w:val="22"/>
                <w:szCs w:val="22"/>
              </w:rPr>
              <w:t>Co.Pty.Ltd</w:t>
            </w:r>
            <w:proofErr w:type="spellEnd"/>
            <w:r w:rsidRPr="00962410">
              <w:rPr>
                <w:rFonts w:ascii="Arial" w:hAnsi="Arial" w:cs="Arial"/>
                <w:sz w:val="22"/>
                <w:szCs w:val="22"/>
              </w:rPr>
              <w:t>. (PR-00000871) as the approved provider for the service known as Frogtastic Educational Kindergarten and Childcare (SE-00000513)</w:t>
            </w:r>
          </w:p>
        </w:tc>
      </w:tr>
      <w:tr w:rsidR="004D492B" w:rsidRPr="00A11B66" w14:paraId="59EA4BAF" w14:textId="77777777" w:rsidTr="000F4A1B">
        <w:trPr>
          <w:trHeight w:val="577"/>
          <w:tblCellSpacing w:w="20" w:type="dxa"/>
        </w:trPr>
        <w:tc>
          <w:tcPr>
            <w:tcW w:w="1378" w:type="pct"/>
            <w:vMerge/>
            <w:tcBorders>
              <w:left w:val="inset" w:sz="6" w:space="0" w:color="auto"/>
              <w:right w:val="inset" w:sz="6" w:space="0" w:color="auto"/>
            </w:tcBorders>
            <w:shd w:val="clear" w:color="auto" w:fill="E6E6E6"/>
          </w:tcPr>
          <w:p w14:paraId="05664D01" w14:textId="77777777" w:rsidR="004D492B" w:rsidRPr="00BA5A8A" w:rsidRDefault="004D492B" w:rsidP="004D492B">
            <w:pPr>
              <w:pStyle w:val="NormalWeb"/>
              <w:numPr>
                <w:ilvl w:val="0"/>
                <w:numId w:val="1"/>
              </w:numPr>
              <w:spacing w:before="0" w:beforeAutospacing="0" w:after="0" w:afterAutospacing="0"/>
              <w:rPr>
                <w:rFonts w:ascii="Arial" w:eastAsiaTheme="minorEastAsia" w:hAnsi="Arial" w:cs="Arial"/>
                <w:sz w:val="22"/>
                <w:szCs w:val="22"/>
              </w:rPr>
            </w:pPr>
          </w:p>
        </w:tc>
        <w:tc>
          <w:tcPr>
            <w:tcW w:w="822" w:type="pct"/>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0A4D7A2" w14:textId="74BB327B" w:rsidR="004D492B" w:rsidRDefault="004D492B" w:rsidP="004D492B">
            <w:pPr>
              <w:pStyle w:val="NormalWeb"/>
              <w:rPr>
                <w:rFonts w:ascii="Arial" w:hAnsi="Arial" w:cs="Arial"/>
                <w:sz w:val="22"/>
                <w:szCs w:val="22"/>
              </w:rPr>
            </w:pPr>
            <w:r>
              <w:rPr>
                <w:rFonts w:ascii="Arial" w:hAnsi="Arial" w:cs="Arial"/>
                <w:sz w:val="22"/>
                <w:szCs w:val="22"/>
              </w:rPr>
              <w:t>Service type</w:t>
            </w:r>
          </w:p>
        </w:tc>
        <w:tc>
          <w:tcPr>
            <w:tcW w:w="2710" w:type="pct"/>
            <w:tcBorders>
              <w:top w:val="inset" w:sz="6" w:space="0" w:color="auto"/>
              <w:left w:val="inset" w:sz="6" w:space="0" w:color="auto"/>
              <w:bottom w:val="inset" w:sz="6" w:space="0" w:color="auto"/>
              <w:right w:val="inset" w:sz="6" w:space="0" w:color="auto"/>
            </w:tcBorders>
          </w:tcPr>
          <w:p w14:paraId="0EF14B81" w14:textId="17F72A9B" w:rsidR="004D492B" w:rsidRPr="006C451F" w:rsidRDefault="004D492B" w:rsidP="004D492B">
            <w:pPr>
              <w:pStyle w:val="NormalWeb"/>
              <w:rPr>
                <w:rFonts w:ascii="Arial" w:hAnsi="Arial" w:cs="Arial"/>
                <w:sz w:val="22"/>
                <w:szCs w:val="22"/>
              </w:rPr>
            </w:pPr>
            <w:r w:rsidRPr="00962410">
              <w:rPr>
                <w:rFonts w:ascii="Arial" w:hAnsi="Arial" w:cs="Arial"/>
                <w:sz w:val="22"/>
                <w:szCs w:val="22"/>
              </w:rPr>
              <w:t>Centre-Based Care</w:t>
            </w:r>
          </w:p>
        </w:tc>
      </w:tr>
      <w:tr w:rsidR="004D492B" w:rsidRPr="00A11B66" w14:paraId="0A1D5921" w14:textId="77777777" w:rsidTr="000F4A1B">
        <w:trPr>
          <w:trHeight w:val="577"/>
          <w:tblCellSpacing w:w="20" w:type="dxa"/>
        </w:trPr>
        <w:tc>
          <w:tcPr>
            <w:tcW w:w="1378" w:type="pct"/>
            <w:vMerge/>
            <w:tcBorders>
              <w:left w:val="inset" w:sz="6" w:space="0" w:color="auto"/>
              <w:right w:val="inset" w:sz="6" w:space="0" w:color="auto"/>
            </w:tcBorders>
            <w:shd w:val="clear" w:color="auto" w:fill="E6E6E6"/>
          </w:tcPr>
          <w:p w14:paraId="0C665EC8" w14:textId="77777777" w:rsidR="004D492B" w:rsidRPr="00BA5A8A" w:rsidRDefault="004D492B" w:rsidP="004D492B">
            <w:pPr>
              <w:pStyle w:val="NormalWeb"/>
              <w:numPr>
                <w:ilvl w:val="0"/>
                <w:numId w:val="1"/>
              </w:numPr>
              <w:spacing w:before="0" w:beforeAutospacing="0" w:after="0" w:afterAutospacing="0"/>
              <w:rPr>
                <w:rFonts w:ascii="Arial" w:eastAsiaTheme="minorEastAsia" w:hAnsi="Arial" w:cs="Arial"/>
                <w:sz w:val="22"/>
                <w:szCs w:val="22"/>
              </w:rPr>
            </w:pPr>
          </w:p>
        </w:tc>
        <w:tc>
          <w:tcPr>
            <w:tcW w:w="822" w:type="pct"/>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E4EC8D7" w14:textId="2F0F1C4E" w:rsidR="004D492B" w:rsidRPr="006C451F" w:rsidRDefault="004D492B" w:rsidP="004D492B">
            <w:pPr>
              <w:pStyle w:val="NormalWeb"/>
              <w:rPr>
                <w:rFonts w:ascii="Arial" w:hAnsi="Arial" w:cs="Arial"/>
                <w:sz w:val="22"/>
                <w:szCs w:val="22"/>
              </w:rPr>
            </w:pPr>
            <w:r>
              <w:rPr>
                <w:rFonts w:ascii="Arial" w:hAnsi="Arial" w:cs="Arial"/>
                <w:sz w:val="22"/>
                <w:szCs w:val="22"/>
              </w:rPr>
              <w:t xml:space="preserve">Address </w:t>
            </w:r>
          </w:p>
        </w:tc>
        <w:tc>
          <w:tcPr>
            <w:tcW w:w="2710" w:type="pct"/>
            <w:tcBorders>
              <w:top w:val="inset" w:sz="6" w:space="0" w:color="auto"/>
              <w:left w:val="inset" w:sz="6" w:space="0" w:color="auto"/>
              <w:bottom w:val="inset" w:sz="6" w:space="0" w:color="auto"/>
              <w:right w:val="inset" w:sz="6" w:space="0" w:color="auto"/>
            </w:tcBorders>
          </w:tcPr>
          <w:p w14:paraId="3F7BC40F" w14:textId="6C896E6C" w:rsidR="004D492B" w:rsidRPr="006C451F" w:rsidRDefault="004D492B" w:rsidP="004D492B">
            <w:pPr>
              <w:pStyle w:val="NormalWeb"/>
              <w:rPr>
                <w:rFonts w:ascii="Arial" w:hAnsi="Arial" w:cs="Arial"/>
                <w:sz w:val="22"/>
                <w:szCs w:val="22"/>
              </w:rPr>
            </w:pPr>
            <w:r w:rsidRPr="00962410">
              <w:rPr>
                <w:rFonts w:ascii="Arial" w:hAnsi="Arial" w:cs="Arial"/>
                <w:sz w:val="22"/>
                <w:szCs w:val="22"/>
                <w14:shadow w14:blurRad="0" w14:dist="0" w14:dir="0" w14:sx="1000" w14:sy="1000" w14:kx="0" w14:ky="0" w14:algn="ctr">
                  <w14:schemeClr w14:val="bg1"/>
                </w14:shadow>
              </w:rPr>
              <w:t>294 Branyan Drive, Bundaberg, QLD 4670</w:t>
            </w:r>
          </w:p>
        </w:tc>
      </w:tr>
      <w:tr w:rsidR="00E3381A" w:rsidRPr="00A11B66" w14:paraId="432A5968" w14:textId="77777777" w:rsidTr="000F4A1B">
        <w:trPr>
          <w:trHeight w:val="577"/>
          <w:tblCellSpacing w:w="20" w:type="dxa"/>
        </w:trPr>
        <w:tc>
          <w:tcPr>
            <w:tcW w:w="1378" w:type="pct"/>
            <w:tcBorders>
              <w:top w:val="inset" w:sz="6" w:space="0" w:color="auto"/>
              <w:left w:val="inset" w:sz="6" w:space="0" w:color="auto"/>
              <w:bottom w:val="inset" w:sz="6" w:space="0" w:color="auto"/>
              <w:right w:val="inset" w:sz="6" w:space="0" w:color="auto"/>
            </w:tcBorders>
            <w:shd w:val="clear" w:color="auto" w:fill="E6E6E6"/>
            <w:hideMark/>
          </w:tcPr>
          <w:p w14:paraId="65311C51" w14:textId="77777777" w:rsidR="00E3381A" w:rsidRPr="00BA5A8A" w:rsidRDefault="00E3381A" w:rsidP="009D3F60">
            <w:pPr>
              <w:pStyle w:val="NormalWeb"/>
              <w:numPr>
                <w:ilvl w:val="0"/>
                <w:numId w:val="1"/>
              </w:numPr>
              <w:spacing w:before="0" w:beforeAutospacing="0" w:after="0" w:afterAutospacing="0"/>
              <w:rPr>
                <w:rFonts w:ascii="Arial" w:eastAsiaTheme="minorEastAsia" w:hAnsi="Arial" w:cs="Arial"/>
                <w:sz w:val="22"/>
                <w:szCs w:val="22"/>
              </w:rPr>
            </w:pPr>
            <w:r w:rsidRPr="00BA5A8A">
              <w:rPr>
                <w:rFonts w:ascii="Arial" w:eastAsiaTheme="minorEastAsia" w:hAnsi="Arial" w:cs="Arial"/>
                <w:sz w:val="22"/>
                <w:szCs w:val="22"/>
              </w:rPr>
              <w:t xml:space="preserve">Nature of Enforcement Action </w:t>
            </w:r>
          </w:p>
        </w:tc>
        <w:tc>
          <w:tcPr>
            <w:tcW w:w="3555" w:type="pct"/>
            <w:gridSpan w:val="2"/>
            <w:tcBorders>
              <w:top w:val="inset" w:sz="6" w:space="0" w:color="auto"/>
              <w:left w:val="inset" w:sz="6" w:space="0" w:color="auto"/>
              <w:bottom w:val="inset" w:sz="6" w:space="0" w:color="auto"/>
              <w:right w:val="inset" w:sz="6" w:space="0" w:color="auto"/>
            </w:tcBorders>
            <w:hideMark/>
          </w:tcPr>
          <w:p w14:paraId="2818315C" w14:textId="2E7645E9" w:rsidR="00E3381A" w:rsidRPr="006C451F" w:rsidRDefault="004D492B" w:rsidP="009D3F60">
            <w:pPr>
              <w:pStyle w:val="NormalWeb"/>
              <w:rPr>
                <w:rFonts w:ascii="Arial" w:hAnsi="Arial" w:cs="Arial"/>
                <w:sz w:val="22"/>
                <w:szCs w:val="22"/>
              </w:rPr>
            </w:pPr>
            <w:r>
              <w:rPr>
                <w:rFonts w:ascii="Arial" w:hAnsi="Arial" w:cs="Arial"/>
                <w:sz w:val="22"/>
                <w:szCs w:val="22"/>
              </w:rPr>
              <w:t>Cancellation</w:t>
            </w:r>
            <w:r w:rsidR="00877545" w:rsidRPr="00877545">
              <w:rPr>
                <w:rFonts w:ascii="Arial" w:hAnsi="Arial" w:cs="Arial"/>
                <w:sz w:val="22"/>
                <w:szCs w:val="22"/>
              </w:rPr>
              <w:t xml:space="preserve"> of service approval</w:t>
            </w:r>
          </w:p>
        </w:tc>
      </w:tr>
      <w:tr w:rsidR="00E3381A" w:rsidRPr="00A11B66" w14:paraId="705D2B50" w14:textId="77777777" w:rsidTr="000F4A1B">
        <w:trPr>
          <w:trHeight w:val="1131"/>
          <w:tblCellSpacing w:w="20" w:type="dxa"/>
        </w:trPr>
        <w:tc>
          <w:tcPr>
            <w:tcW w:w="1378" w:type="pct"/>
            <w:tcBorders>
              <w:top w:val="inset" w:sz="6" w:space="0" w:color="auto"/>
              <w:left w:val="inset" w:sz="6" w:space="0" w:color="auto"/>
              <w:bottom w:val="inset" w:sz="6" w:space="0" w:color="auto"/>
              <w:right w:val="inset" w:sz="6" w:space="0" w:color="auto"/>
            </w:tcBorders>
            <w:shd w:val="clear" w:color="auto" w:fill="E6E6E6"/>
            <w:hideMark/>
          </w:tcPr>
          <w:p w14:paraId="4AB4D375" w14:textId="3A928D06" w:rsidR="00E3381A" w:rsidRPr="0026068C" w:rsidRDefault="00E3381A" w:rsidP="009D3F60">
            <w:pPr>
              <w:pStyle w:val="NormalWeb"/>
              <w:numPr>
                <w:ilvl w:val="0"/>
                <w:numId w:val="1"/>
              </w:numPr>
              <w:spacing w:before="0" w:beforeAutospacing="0" w:after="0" w:afterAutospacing="0"/>
              <w:rPr>
                <w:rFonts w:ascii="Arial" w:eastAsiaTheme="minorEastAsia" w:hAnsi="Arial" w:cs="Arial"/>
                <w:sz w:val="22"/>
                <w:szCs w:val="22"/>
              </w:rPr>
            </w:pPr>
            <w:r w:rsidRPr="0026068C">
              <w:rPr>
                <w:rFonts w:ascii="Arial" w:eastAsiaTheme="minorEastAsia" w:hAnsi="Arial" w:cs="Arial"/>
                <w:sz w:val="22"/>
                <w:szCs w:val="22"/>
              </w:rPr>
              <w:t xml:space="preserve">Reason for </w:t>
            </w:r>
            <w:r w:rsidR="00BA5A8A" w:rsidRPr="0026068C">
              <w:rPr>
                <w:rFonts w:ascii="Arial" w:eastAsiaTheme="minorEastAsia" w:hAnsi="Arial" w:cs="Arial"/>
                <w:sz w:val="22"/>
                <w:szCs w:val="22"/>
              </w:rPr>
              <w:t>Enforcement Action</w:t>
            </w:r>
          </w:p>
        </w:tc>
        <w:tc>
          <w:tcPr>
            <w:tcW w:w="3555" w:type="pct"/>
            <w:gridSpan w:val="2"/>
            <w:tcBorders>
              <w:top w:val="inset" w:sz="6" w:space="0" w:color="auto"/>
              <w:left w:val="inset" w:sz="6" w:space="0" w:color="auto"/>
              <w:bottom w:val="inset" w:sz="6" w:space="0" w:color="auto"/>
              <w:right w:val="inset" w:sz="6" w:space="0" w:color="auto"/>
            </w:tcBorders>
          </w:tcPr>
          <w:p w14:paraId="637568CD" w14:textId="3EB114E2" w:rsidR="00D020E8" w:rsidRPr="007679AF" w:rsidRDefault="00877545" w:rsidP="00877545">
            <w:pPr>
              <w:autoSpaceDE w:val="0"/>
              <w:autoSpaceDN w:val="0"/>
              <w:adjustRightInd w:val="0"/>
              <w:spacing w:after="0" w:line="240" w:lineRule="auto"/>
              <w:rPr>
                <w:rFonts w:ascii="Arial" w:hAnsi="Arial" w:cs="Arial"/>
              </w:rPr>
            </w:pPr>
            <w:bookmarkStart w:id="0" w:name="_Hlk207720526"/>
            <w:r w:rsidRPr="0026068C">
              <w:rPr>
                <w:rFonts w:ascii="Arial" w:hAnsi="Arial" w:cs="Arial"/>
              </w:rPr>
              <w:t xml:space="preserve">The service approval was </w:t>
            </w:r>
            <w:r w:rsidR="004D492B">
              <w:rPr>
                <w:rFonts w:ascii="Arial" w:hAnsi="Arial" w:cs="Arial"/>
              </w:rPr>
              <w:t>cancelled</w:t>
            </w:r>
            <w:r w:rsidRPr="0026068C">
              <w:rPr>
                <w:rFonts w:ascii="Arial" w:hAnsi="Arial" w:cs="Arial"/>
              </w:rPr>
              <w:t xml:space="preserve"> </w:t>
            </w:r>
            <w:r w:rsidR="0026068C" w:rsidRPr="0026068C">
              <w:rPr>
                <w:rFonts w:ascii="Arial" w:hAnsi="Arial" w:cs="Arial"/>
              </w:rPr>
              <w:t xml:space="preserve">on </w:t>
            </w:r>
            <w:r w:rsidRPr="0026068C">
              <w:rPr>
                <w:rFonts w:ascii="Arial" w:hAnsi="Arial" w:cs="Arial"/>
              </w:rPr>
              <w:t xml:space="preserve">the </w:t>
            </w:r>
            <w:r w:rsidR="004249D8">
              <w:rPr>
                <w:rFonts w:ascii="Arial" w:hAnsi="Arial" w:cs="Arial"/>
              </w:rPr>
              <w:t xml:space="preserve">following </w:t>
            </w:r>
            <w:r w:rsidRPr="0026068C">
              <w:rPr>
                <w:rFonts w:ascii="Arial" w:hAnsi="Arial" w:cs="Arial"/>
              </w:rPr>
              <w:t>grounds:</w:t>
            </w:r>
          </w:p>
          <w:p w14:paraId="7226D031" w14:textId="77777777" w:rsidR="00D020E8" w:rsidRPr="00BB3164" w:rsidRDefault="00D020E8" w:rsidP="00BB3164">
            <w:pPr>
              <w:autoSpaceDE w:val="0"/>
              <w:autoSpaceDN w:val="0"/>
              <w:adjustRightInd w:val="0"/>
              <w:spacing w:after="0" w:line="240" w:lineRule="auto"/>
              <w:rPr>
                <w:rFonts w:ascii="Arial" w:hAnsi="Arial" w:cs="Arial"/>
              </w:rPr>
            </w:pPr>
          </w:p>
          <w:p w14:paraId="5319A84C" w14:textId="19E42D3C" w:rsidR="00D020E8" w:rsidRPr="0026068C" w:rsidRDefault="00D07C00" w:rsidP="00D020E8">
            <w:pPr>
              <w:pStyle w:val="ListParagraph"/>
              <w:numPr>
                <w:ilvl w:val="0"/>
                <w:numId w:val="9"/>
              </w:numPr>
              <w:rPr>
                <w:rFonts w:ascii="Arial" w:hAnsi="Arial" w:cs="Arial"/>
              </w:rPr>
            </w:pPr>
            <w:r>
              <w:rPr>
                <w:rFonts w:ascii="Arial" w:hAnsi="Arial" w:cs="Arial"/>
              </w:rPr>
              <w:t xml:space="preserve">The Regulatory Authority </w:t>
            </w:r>
            <w:r w:rsidR="004D492B" w:rsidRPr="004D492B">
              <w:rPr>
                <w:rFonts w:ascii="Arial" w:hAnsi="Arial" w:cs="Arial"/>
              </w:rPr>
              <w:t>reasonably believes that the continued operation of the education and care service would constitute an unacceptable risk to the safety, health or wellbeing of any child or class of children being educated and cared for by the education and care service</w:t>
            </w:r>
            <w:r w:rsidR="00D020E8" w:rsidRPr="0026068C">
              <w:rPr>
                <w:rFonts w:ascii="Arial" w:hAnsi="Arial" w:cs="Arial"/>
              </w:rPr>
              <w:t>; and</w:t>
            </w:r>
          </w:p>
          <w:p w14:paraId="24E65503" w14:textId="77777777" w:rsidR="00D020E8" w:rsidRPr="00BB3164" w:rsidRDefault="00D020E8" w:rsidP="00BB3164">
            <w:pPr>
              <w:pStyle w:val="ListParagraph"/>
              <w:rPr>
                <w:rFonts w:ascii="Arial" w:hAnsi="Arial" w:cs="Arial"/>
              </w:rPr>
            </w:pPr>
          </w:p>
          <w:p w14:paraId="2CCCE0E6" w14:textId="77777777" w:rsidR="00877545" w:rsidRDefault="004D492B" w:rsidP="000F4A1B">
            <w:pPr>
              <w:pStyle w:val="ListParagraph"/>
              <w:numPr>
                <w:ilvl w:val="0"/>
                <w:numId w:val="9"/>
              </w:numPr>
              <w:rPr>
                <w:rFonts w:ascii="Arial" w:hAnsi="Arial" w:cs="Arial"/>
              </w:rPr>
            </w:pPr>
            <w:r w:rsidRPr="004D492B">
              <w:rPr>
                <w:rFonts w:ascii="Arial" w:hAnsi="Arial" w:cs="Arial"/>
              </w:rPr>
              <w:t>A</w:t>
            </w:r>
            <w:r w:rsidRPr="004D492B">
              <w:rPr>
                <w:rFonts w:ascii="Arial" w:hAnsi="Arial" w:cs="Arial"/>
              </w:rPr>
              <w:t xml:space="preserve"> condition of the service approval has not been complied with</w:t>
            </w:r>
            <w:r w:rsidR="001A420E" w:rsidRPr="004D492B">
              <w:rPr>
                <w:rFonts w:ascii="Arial" w:hAnsi="Arial" w:cs="Arial"/>
              </w:rPr>
              <w:t>.</w:t>
            </w:r>
            <w:bookmarkEnd w:id="0"/>
          </w:p>
          <w:p w14:paraId="12A21DC8" w14:textId="4BCDF264" w:rsidR="000F4A1B" w:rsidRPr="000F4A1B" w:rsidRDefault="000F4A1B" w:rsidP="000F4A1B">
            <w:pPr>
              <w:rPr>
                <w:rFonts w:ascii="Arial" w:hAnsi="Arial" w:cs="Arial"/>
              </w:rPr>
            </w:pPr>
            <w:r w:rsidRPr="000F4A1B">
              <w:rPr>
                <w:rFonts w:ascii="Arial" w:hAnsi="Arial" w:cs="Arial"/>
              </w:rPr>
              <w:t>The service approval was cancelled under the Education and Care Services National Law following a comprehensive and prolonged show cause process.</w:t>
            </w:r>
          </w:p>
        </w:tc>
      </w:tr>
      <w:tr w:rsidR="00E3381A" w:rsidRPr="00A11B66" w14:paraId="0C7DAA93" w14:textId="77777777" w:rsidTr="000F4A1B">
        <w:trPr>
          <w:trHeight w:val="994"/>
          <w:tblCellSpacing w:w="20" w:type="dxa"/>
        </w:trPr>
        <w:tc>
          <w:tcPr>
            <w:tcW w:w="1378" w:type="pct"/>
            <w:tcBorders>
              <w:top w:val="inset" w:sz="6" w:space="0" w:color="auto"/>
              <w:left w:val="inset" w:sz="6" w:space="0" w:color="auto"/>
              <w:bottom w:val="inset" w:sz="6" w:space="0" w:color="auto"/>
              <w:right w:val="inset" w:sz="6" w:space="0" w:color="auto"/>
            </w:tcBorders>
            <w:shd w:val="clear" w:color="auto" w:fill="E6E6E6"/>
            <w:hideMark/>
          </w:tcPr>
          <w:p w14:paraId="41539BF7" w14:textId="0F0C19D2" w:rsidR="00E3381A" w:rsidRPr="00BA5A8A" w:rsidRDefault="004D492B" w:rsidP="004D492B">
            <w:pPr>
              <w:pStyle w:val="NormalWeb"/>
              <w:numPr>
                <w:ilvl w:val="0"/>
                <w:numId w:val="1"/>
              </w:numPr>
              <w:spacing w:before="0" w:beforeAutospacing="0" w:after="0" w:afterAutospacing="0"/>
              <w:ind w:right="108"/>
              <w:rPr>
                <w:rFonts w:ascii="Arial" w:eastAsiaTheme="minorEastAsia" w:hAnsi="Arial" w:cs="Arial"/>
                <w:sz w:val="22"/>
                <w:szCs w:val="22"/>
              </w:rPr>
            </w:pPr>
            <w:r>
              <w:rPr>
                <w:rFonts w:ascii="Arial" w:eastAsiaTheme="minorEastAsia" w:hAnsi="Arial" w:cs="Arial"/>
                <w:sz w:val="22"/>
                <w:szCs w:val="22"/>
              </w:rPr>
              <w:t>Date of decision</w:t>
            </w:r>
          </w:p>
        </w:tc>
        <w:tc>
          <w:tcPr>
            <w:tcW w:w="3555" w:type="pct"/>
            <w:gridSpan w:val="2"/>
            <w:tcBorders>
              <w:top w:val="inset" w:sz="6" w:space="0" w:color="auto"/>
              <w:left w:val="inset" w:sz="6" w:space="0" w:color="auto"/>
              <w:bottom w:val="inset" w:sz="6" w:space="0" w:color="auto"/>
              <w:right w:val="inset" w:sz="6" w:space="0" w:color="auto"/>
            </w:tcBorders>
            <w:shd w:val="clear" w:color="auto" w:fill="FFFFFF"/>
            <w:hideMark/>
          </w:tcPr>
          <w:p w14:paraId="3F932EF8" w14:textId="0A6C4884" w:rsidR="00E3381A" w:rsidRPr="00877545" w:rsidRDefault="00877545" w:rsidP="009D3F60">
            <w:pPr>
              <w:pStyle w:val="NormalWeb"/>
              <w:spacing w:before="0" w:beforeAutospacing="0" w:after="0" w:afterAutospacing="0"/>
              <w:ind w:right="108"/>
              <w:rPr>
                <w:rFonts w:ascii="Arial" w:hAnsi="Arial" w:cs="Arial"/>
                <w:bCs/>
                <w:sz w:val="22"/>
                <w:szCs w:val="22"/>
              </w:rPr>
            </w:pPr>
            <w:r w:rsidRPr="00877545">
              <w:rPr>
                <w:rFonts w:ascii="Arial" w:hAnsi="Arial" w:cs="Arial"/>
                <w:bCs/>
                <w:sz w:val="22"/>
                <w:szCs w:val="22"/>
              </w:rPr>
              <w:t xml:space="preserve">The </w:t>
            </w:r>
            <w:r w:rsidR="004D492B">
              <w:rPr>
                <w:rFonts w:ascii="Arial" w:hAnsi="Arial" w:cs="Arial"/>
                <w:bCs/>
                <w:sz w:val="22"/>
                <w:szCs w:val="22"/>
              </w:rPr>
              <w:t>cancellation of service approval took effect on 2 June 2026.</w:t>
            </w:r>
          </w:p>
        </w:tc>
      </w:tr>
    </w:tbl>
    <w:p w14:paraId="57DB0772" w14:textId="77777777" w:rsidR="00B565F9" w:rsidRDefault="00B565F9"/>
    <w:sectPr w:rsidR="00B565F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EC6F" w14:textId="77777777" w:rsidR="00EA083B" w:rsidRDefault="00EA083B" w:rsidP="001528C6">
      <w:pPr>
        <w:spacing w:after="0" w:line="240" w:lineRule="auto"/>
      </w:pPr>
      <w:r>
        <w:separator/>
      </w:r>
    </w:p>
  </w:endnote>
  <w:endnote w:type="continuationSeparator" w:id="0">
    <w:p w14:paraId="3D5FA282" w14:textId="77777777" w:rsidR="00EA083B" w:rsidRDefault="00EA083B" w:rsidP="00152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F30A" w14:textId="3E04D09A" w:rsidR="001528C6" w:rsidRPr="001528C6" w:rsidRDefault="001528C6">
    <w:pPr>
      <w:pStyle w:val="Footer"/>
      <w:rPr>
        <w:rFonts w:ascii="Arial" w:hAnsi="Arial" w:cs="Arial"/>
      </w:rPr>
    </w:pPr>
    <w:r w:rsidRPr="001528C6">
      <w:rPr>
        <w:rFonts w:ascii="Arial" w:hAnsi="Arial" w:cs="Arial"/>
      </w:rPr>
      <w:t xml:space="preserve">Ref CM </w:t>
    </w:r>
    <w:r w:rsidR="004C7D8B">
      <w:rPr>
        <w:rFonts w:ascii="Arial" w:hAnsi="Arial" w:cs="Arial"/>
      </w:rPr>
      <w:t>26/</w:t>
    </w:r>
    <w:r w:rsidR="004D492B">
      <w:rPr>
        <w:rFonts w:ascii="Arial" w:hAnsi="Arial" w:cs="Arial"/>
      </w:rPr>
      <w:t>617666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31AB" w14:textId="77777777" w:rsidR="00EA083B" w:rsidRDefault="00EA083B" w:rsidP="001528C6">
      <w:pPr>
        <w:spacing w:after="0" w:line="240" w:lineRule="auto"/>
      </w:pPr>
      <w:r>
        <w:separator/>
      </w:r>
    </w:p>
  </w:footnote>
  <w:footnote w:type="continuationSeparator" w:id="0">
    <w:p w14:paraId="68BF9FAE" w14:textId="77777777" w:rsidR="00EA083B" w:rsidRDefault="00EA083B" w:rsidP="00152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22F82"/>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444C7"/>
    <w:multiLevelType w:val="hybridMultilevel"/>
    <w:tmpl w:val="7BBA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04E2C"/>
    <w:multiLevelType w:val="hybridMultilevel"/>
    <w:tmpl w:val="6002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EF57A0"/>
    <w:multiLevelType w:val="hybridMultilevel"/>
    <w:tmpl w:val="966C2A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AD19D1"/>
    <w:multiLevelType w:val="hybridMultilevel"/>
    <w:tmpl w:val="5B6EE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B66674"/>
    <w:multiLevelType w:val="hybridMultilevel"/>
    <w:tmpl w:val="4CA47FAE"/>
    <w:lvl w:ilvl="0" w:tplc="9216DE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C471F2"/>
    <w:multiLevelType w:val="hybridMultilevel"/>
    <w:tmpl w:val="9E92D592"/>
    <w:lvl w:ilvl="0" w:tplc="82C8C9E6">
      <w:start w:val="1"/>
      <w:numFmt w:val="decimal"/>
      <w:lvlText w:val="%1."/>
      <w:lvlJc w:val="left"/>
      <w:pPr>
        <w:tabs>
          <w:tab w:val="num" w:pos="360"/>
        </w:tabs>
        <w:ind w:left="360" w:hanging="360"/>
      </w:pPr>
      <w:rPr>
        <w:rFonts w:ascii="Arial" w:hAnsi="Arial" w:cs="Arial" w:hint="default"/>
        <w:b w:val="0"/>
        <w:i w:val="0"/>
        <w:color w:val="auto"/>
        <w:sz w:val="22"/>
        <w:szCs w:val="22"/>
      </w:rPr>
    </w:lvl>
    <w:lvl w:ilvl="1" w:tplc="5D02AF90">
      <w:start w:val="1"/>
      <w:numFmt w:val="bullet"/>
      <w:lvlText w:val=""/>
      <w:lvlJc w:val="left"/>
      <w:pPr>
        <w:tabs>
          <w:tab w:val="num" w:pos="1080"/>
        </w:tabs>
        <w:ind w:left="1080" w:hanging="360"/>
      </w:pPr>
      <w:rPr>
        <w:rFonts w:ascii="Symbol" w:hAnsi="Symbol" w:hint="default"/>
      </w:r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608D583D"/>
    <w:multiLevelType w:val="hybridMultilevel"/>
    <w:tmpl w:val="8F88C340"/>
    <w:lvl w:ilvl="0" w:tplc="0C09000F">
      <w:start w:val="1"/>
      <w:numFmt w:val="decimal"/>
      <w:lvlText w:val="%1."/>
      <w:lvlJc w:val="left"/>
      <w:pPr>
        <w:tabs>
          <w:tab w:val="num" w:pos="360"/>
        </w:tabs>
        <w:ind w:left="360" w:hanging="360"/>
      </w:pPr>
    </w:lvl>
    <w:lvl w:ilvl="1" w:tplc="3E2EECEE">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690C3E25"/>
    <w:multiLevelType w:val="hybridMultilevel"/>
    <w:tmpl w:val="31E6CE88"/>
    <w:lvl w:ilvl="0" w:tplc="0C09000F">
      <w:start w:val="1"/>
      <w:numFmt w:val="decimal"/>
      <w:lvlText w:val="%1."/>
      <w:lvlJc w:val="left"/>
      <w:pPr>
        <w:tabs>
          <w:tab w:val="num" w:pos="360"/>
        </w:tabs>
        <w:ind w:left="360" w:hanging="360"/>
      </w:pPr>
    </w:lvl>
    <w:lvl w:ilvl="1" w:tplc="3E2EECEE">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9" w15:restartNumberingAfterBreak="0">
    <w:nsid w:val="7714036A"/>
    <w:multiLevelType w:val="hybridMultilevel"/>
    <w:tmpl w:val="684EE5BE"/>
    <w:lvl w:ilvl="0" w:tplc="0C090019">
      <w:start w:val="1"/>
      <w:numFmt w:val="lowerLetter"/>
      <w:lvlText w:val="%1."/>
      <w:lvlJc w:val="left"/>
      <w:pPr>
        <w:ind w:left="1158" w:hanging="360"/>
      </w:pPr>
      <w:rPr>
        <w:rFonts w:cs="Times New Roman"/>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num w:numId="1" w16cid:durableId="1429345773">
    <w:abstractNumId w:val="7"/>
  </w:num>
  <w:num w:numId="2" w16cid:durableId="103961399">
    <w:abstractNumId w:val="9"/>
  </w:num>
  <w:num w:numId="3" w16cid:durableId="464198414">
    <w:abstractNumId w:val="2"/>
  </w:num>
  <w:num w:numId="4" w16cid:durableId="466826364">
    <w:abstractNumId w:val="1"/>
  </w:num>
  <w:num w:numId="5" w16cid:durableId="1404260897">
    <w:abstractNumId w:val="4"/>
  </w:num>
  <w:num w:numId="6" w16cid:durableId="608243253">
    <w:abstractNumId w:val="5"/>
  </w:num>
  <w:num w:numId="7" w16cid:durableId="1752313048">
    <w:abstractNumId w:val="6"/>
  </w:num>
  <w:num w:numId="8" w16cid:durableId="656764374">
    <w:abstractNumId w:val="8"/>
  </w:num>
  <w:num w:numId="9" w16cid:durableId="791561310">
    <w:abstractNumId w:val="3"/>
  </w:num>
  <w:num w:numId="10" w16cid:durableId="116878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1A"/>
    <w:rsid w:val="000601CB"/>
    <w:rsid w:val="000877DC"/>
    <w:rsid w:val="000F4A1B"/>
    <w:rsid w:val="001528C6"/>
    <w:rsid w:val="001A3F17"/>
    <w:rsid w:val="001A420E"/>
    <w:rsid w:val="002112FE"/>
    <w:rsid w:val="00217E6F"/>
    <w:rsid w:val="00250968"/>
    <w:rsid w:val="0026068C"/>
    <w:rsid w:val="002808EA"/>
    <w:rsid w:val="002B4AEC"/>
    <w:rsid w:val="002F7981"/>
    <w:rsid w:val="00364E11"/>
    <w:rsid w:val="003A77CF"/>
    <w:rsid w:val="003C0AEF"/>
    <w:rsid w:val="004249D8"/>
    <w:rsid w:val="004C7D8B"/>
    <w:rsid w:val="004D3EC1"/>
    <w:rsid w:val="004D492B"/>
    <w:rsid w:val="0053122D"/>
    <w:rsid w:val="006A23F9"/>
    <w:rsid w:val="00704954"/>
    <w:rsid w:val="00784418"/>
    <w:rsid w:val="00877545"/>
    <w:rsid w:val="0097782D"/>
    <w:rsid w:val="009C1453"/>
    <w:rsid w:val="009C72F3"/>
    <w:rsid w:val="00A85FCD"/>
    <w:rsid w:val="00AA47C2"/>
    <w:rsid w:val="00B565F9"/>
    <w:rsid w:val="00BA5A8A"/>
    <w:rsid w:val="00BB3164"/>
    <w:rsid w:val="00BD1E1E"/>
    <w:rsid w:val="00BF1036"/>
    <w:rsid w:val="00CA3F53"/>
    <w:rsid w:val="00CD56D4"/>
    <w:rsid w:val="00D020E8"/>
    <w:rsid w:val="00D07C00"/>
    <w:rsid w:val="00D371CA"/>
    <w:rsid w:val="00D37202"/>
    <w:rsid w:val="00D73F16"/>
    <w:rsid w:val="00DD5BEC"/>
    <w:rsid w:val="00E14AAC"/>
    <w:rsid w:val="00E3381A"/>
    <w:rsid w:val="00E36D5A"/>
    <w:rsid w:val="00E768C2"/>
    <w:rsid w:val="00EA083B"/>
    <w:rsid w:val="00EA0DEC"/>
    <w:rsid w:val="00EB0389"/>
    <w:rsid w:val="00EC73FF"/>
    <w:rsid w:val="00EE34BC"/>
    <w:rsid w:val="00F72E39"/>
    <w:rsid w:val="00FA4935"/>
    <w:rsid w:val="00FE5FD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5E61E"/>
  <w15:chartTrackingRefBased/>
  <w15:docId w15:val="{18842E25-E2B7-4B73-97CA-5587C9FB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1A"/>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3381A"/>
    <w:pPr>
      <w:ind w:left="720"/>
      <w:contextualSpacing/>
    </w:pPr>
  </w:style>
  <w:style w:type="paragraph" w:styleId="NormalWeb">
    <w:name w:val="Normal (Web)"/>
    <w:basedOn w:val="Normal"/>
    <w:uiPriority w:val="99"/>
    <w:unhideWhenUsed/>
    <w:rsid w:val="00E3381A"/>
    <w:pPr>
      <w:spacing w:before="100" w:beforeAutospacing="1" w:after="100" w:afterAutospacing="1" w:line="240" w:lineRule="auto"/>
    </w:pPr>
    <w:rPr>
      <w:rFonts w:ascii="Times New Roman" w:eastAsia="SimSun" w:hAnsi="Times New Roman" w:cs="Times New Roman"/>
      <w:sz w:val="24"/>
      <w:szCs w:val="24"/>
    </w:rPr>
  </w:style>
  <w:style w:type="paragraph" w:styleId="Header">
    <w:name w:val="header"/>
    <w:basedOn w:val="Normal"/>
    <w:link w:val="HeaderChar"/>
    <w:uiPriority w:val="99"/>
    <w:unhideWhenUsed/>
    <w:rsid w:val="00152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8C6"/>
  </w:style>
  <w:style w:type="paragraph" w:styleId="Footer">
    <w:name w:val="footer"/>
    <w:basedOn w:val="Normal"/>
    <w:link w:val="FooterChar"/>
    <w:uiPriority w:val="99"/>
    <w:unhideWhenUsed/>
    <w:rsid w:val="00152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8C6"/>
  </w:style>
  <w:style w:type="paragraph" w:styleId="Revision">
    <w:name w:val="Revision"/>
    <w:hidden/>
    <w:uiPriority w:val="99"/>
    <w:semiHidden/>
    <w:rsid w:val="00D020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9ED383340B141B424EE441194D85C" ma:contentTypeVersion="1" ma:contentTypeDescription="Create a new document." ma:contentTypeScope="" ma:versionID="3c015f0d2969e3c1598fcb352c6d3adb">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bc83435dce7c5cf391ea7591faab3a9"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End Date" ma:description="The end date and time of the aler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SubmittedDate xmlns="687c0ba5-25f6-467d-a8e9-4285ca7a69ae" xsi:nil="true"/>
    <PPReferenceNumber xmlns="687c0ba5-25f6-467d-a8e9-4285ca7a69ae" xsi:nil="true"/>
    <PPSubmittedBy xmlns="687c0ba5-25f6-467d-a8e9-4285ca7a69ae">
      <UserInfo>
        <DisplayName/>
        <AccountId xsi:nil="true"/>
        <AccountType/>
      </UserInfo>
    </PPSubmittedBy>
    <PPLastReviewedBy xmlns="687c0ba5-25f6-467d-a8e9-4285ca7a69ae">
      <UserInfo>
        <DisplayName>GAO, Rochelle</DisplayName>
        <AccountId>502</AccountId>
        <AccountType/>
      </UserInfo>
    </PPLastReviewedBy>
    <PPContentOwner xmlns="687c0ba5-25f6-467d-a8e9-4285ca7a69ae">
      <UserInfo>
        <DisplayName>CAREY, Christopher</DisplayName>
        <AccountId>298</AccountId>
        <AccountType/>
      </UserInfo>
    </PPContentOwner>
    <PPPublishedNotificationAddresses xmlns="687c0ba5-25f6-467d-a8e9-4285ca7a69ae" xsi:nil="true"/>
    <PublishingExpirationDate xmlns="http://schemas.microsoft.com/sharepoint/v3" xsi:nil="true"/>
    <PPModeratedDate xmlns="687c0ba5-25f6-467d-a8e9-4285ca7a69ae">2026-06-22T00:31:33+00:00</PPModeratedDate>
    <PPLastReviewedDate xmlns="687c0ba5-25f6-467d-a8e9-4285ca7a69ae">2026-06-22T00:31:33+00:00</PPLastReviewedDate>
    <PPModeratedBy xmlns="687c0ba5-25f6-467d-a8e9-4285ca7a69ae">
      <UserInfo>
        <DisplayName>GAO, Rochelle</DisplayName>
        <AccountId>502</AccountId>
        <AccountType/>
      </UserInfo>
    </PPModeratedBy>
    <PPContentApprover xmlns="687c0ba5-25f6-467d-a8e9-4285ca7a69ae">
      <UserInfo>
        <DisplayName/>
        <AccountId xsi:nil="true"/>
        <AccountType/>
      </UserInfo>
    </PPContentApprover>
    <PublishingStartDate xmlns="http://schemas.microsoft.com/sharepoint/v3" xsi:nil="true"/>
    <PPReviewDate xmlns="687c0ba5-25f6-467d-a8e9-4285ca7a69ae" xsi:nil="true"/>
    <PPContentAuthor xmlns="687c0ba5-25f6-467d-a8e9-4285ca7a69ae">
      <UserInfo>
        <DisplayName/>
        <AccountId xsi:nil="true"/>
        <AccountType/>
      </UserInfo>
    </PPContentAuthor>
  </documentManagement>
</p:properties>
</file>

<file path=customXml/itemProps1.xml><?xml version="1.0" encoding="utf-8"?>
<ds:datastoreItem xmlns:ds="http://schemas.openxmlformats.org/officeDocument/2006/customXml" ds:itemID="{4251F69D-E618-49DB-BA52-8A74385F6F1D}"/>
</file>

<file path=customXml/itemProps2.xml><?xml version="1.0" encoding="utf-8"?>
<ds:datastoreItem xmlns:ds="http://schemas.openxmlformats.org/officeDocument/2006/customXml" ds:itemID="{2913B6DA-ABDC-434F-8419-169EA7B615AA}"/>
</file>

<file path=customXml/itemProps3.xml><?xml version="1.0" encoding="utf-8"?>
<ds:datastoreItem xmlns:ds="http://schemas.openxmlformats.org/officeDocument/2006/customXml" ds:itemID="{D6F9E26A-AE3A-43AC-8E6F-6C3F8963E6DB}"/>
</file>

<file path=docProps/app.xml><?xml version="1.0" encoding="utf-8"?>
<Properties xmlns="http://schemas.openxmlformats.org/officeDocument/2006/extended-properties" xmlns:vt="http://schemas.openxmlformats.org/officeDocument/2006/docPropsVTypes">
  <Template>Normal.dotm</Template>
  <TotalTime>14</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Frogtastic Educational Kindergarten and Childcare cancellation of service approval</dc:title>
  <dc:subject>Frogtastic Educational Kindergarten and Childcare cancellation of service approval</dc:subject>
  <dc:creator>Queensland Government</dc:creator>
  <cp:keywords>Frogtastic; Educational Kindergarten and Childcare; cancellation; service approval</cp:keywords>
  <dc:description/>
  <cp:revision>3</cp:revision>
  <dcterms:created xsi:type="dcterms:W3CDTF">2026-06-19T01:24:00Z</dcterms:created>
  <dcterms:modified xsi:type="dcterms:W3CDTF">2026-06-19T01:55:00Z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0x01010053A9ED383340B141B424EE441194D85C</vt:lpwstr>
  </property>
</Properties>
</file>