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4735A" w14:textId="77777777" w:rsidR="00533ACA" w:rsidRDefault="00533ACA" w:rsidP="00533ACA"/>
    <w:p w14:paraId="49CA2793" w14:textId="77777777" w:rsidR="00533ACA" w:rsidRDefault="00533ACA" w:rsidP="00533ACA"/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739"/>
        <w:gridCol w:w="6271"/>
      </w:tblGrid>
      <w:tr w:rsidR="00533ACA" w14:paraId="6C664FC9" w14:textId="77777777" w:rsidTr="00533ACA">
        <w:trPr>
          <w:tblCellSpacing w:w="20" w:type="dxa"/>
        </w:trPr>
        <w:tc>
          <w:tcPr>
            <w:tcW w:w="4957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  <w:hideMark/>
          </w:tcPr>
          <w:p w14:paraId="6B5D111C" w14:textId="77777777" w:rsidR="00533ACA" w:rsidRDefault="00533ACA">
            <w:pPr>
              <w:pStyle w:val="NormalWeb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</w:tr>
      <w:tr w:rsidR="00533ACA" w14:paraId="4B183810" w14:textId="77777777" w:rsidTr="00533ACA">
        <w:trPr>
          <w:trHeight w:val="577"/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2C0FD286" w14:textId="77777777" w:rsidR="00533ACA" w:rsidRDefault="00533ACA" w:rsidP="00533ACA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Details of entity to whom the enforcement action relates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60C25EF" w14:textId="77777777" w:rsidR="00533ACA" w:rsidRDefault="00533ACA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Family Day Care Association Queensland Ltd (the approved provider)</w:t>
            </w:r>
          </w:p>
        </w:tc>
      </w:tr>
      <w:tr w:rsidR="00533ACA" w14:paraId="26E826B4" w14:textId="77777777" w:rsidTr="00533ACA">
        <w:trPr>
          <w:trHeight w:val="577"/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7B2B8990" w14:textId="77777777" w:rsidR="00533ACA" w:rsidRDefault="00533ACA" w:rsidP="00533ACA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of service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0494BA7" w14:textId="77777777" w:rsidR="00533ACA" w:rsidRDefault="00533ACA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Family Day Care Services </w:t>
            </w:r>
          </w:p>
        </w:tc>
      </w:tr>
      <w:tr w:rsidR="00533ACA" w14:paraId="3E177C9B" w14:textId="77777777" w:rsidTr="00533ACA">
        <w:trPr>
          <w:trHeight w:val="577"/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3321837C" w14:textId="77777777" w:rsidR="00533ACA" w:rsidRDefault="00533ACA" w:rsidP="00533ACA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Nature of Enforcement Action 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7BDF973" w14:textId="77777777" w:rsidR="00533ACA" w:rsidRDefault="00533ACA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Enforceable undertaking</w:t>
            </w:r>
          </w:p>
        </w:tc>
      </w:tr>
      <w:tr w:rsidR="00533ACA" w14:paraId="2A0CB9D5" w14:textId="77777777" w:rsidTr="00533ACA">
        <w:trPr>
          <w:trHeight w:val="1131"/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26141942" w14:textId="77777777" w:rsidR="00533ACA" w:rsidRDefault="00533ACA" w:rsidP="00533ACA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Reason for Enforcement Action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C19AF5F" w14:textId="6BAC291B" w:rsidR="00533ACA" w:rsidRDefault="00533ACA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total of 237 instances of non-compliance with the Education and Care Services National Law and the Education and Care Services National Regulations were identified by the Regulatory Authority across the approved provider’s </w:t>
            </w:r>
            <w:r w:rsidR="003D158C">
              <w:rPr>
                <w:rFonts w:ascii="Arial" w:hAnsi="Arial" w:cs="Arial"/>
                <w:sz w:val="22"/>
                <w:szCs w:val="22"/>
              </w:rPr>
              <w:t>(</w:t>
            </w:r>
            <w:r w:rsidR="007D5887" w:rsidRPr="002065A4">
              <w:rPr>
                <w:rFonts w:ascii="Arial" w:hAnsi="Arial" w:cs="Arial"/>
                <w:sz w:val="22"/>
                <w:szCs w:val="22"/>
              </w:rPr>
              <w:t>12</w:t>
            </w:r>
            <w:r w:rsidR="003D158C"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</w:rPr>
              <w:t xml:space="preserve">services during investigations conducted </w:t>
            </w:r>
            <w:r w:rsidR="003D158C">
              <w:rPr>
                <w:rFonts w:ascii="Arial" w:hAnsi="Arial" w:cs="Arial"/>
                <w:sz w:val="22"/>
                <w:szCs w:val="22"/>
              </w:rPr>
              <w:t>between</w:t>
            </w:r>
            <w:r>
              <w:rPr>
                <w:rFonts w:ascii="Arial" w:hAnsi="Arial" w:cs="Arial"/>
                <w:sz w:val="22"/>
                <w:szCs w:val="22"/>
              </w:rPr>
              <w:t xml:space="preserve"> March </w:t>
            </w:r>
            <w:r w:rsidR="003D158C">
              <w:rPr>
                <w:rFonts w:ascii="Arial" w:hAnsi="Arial" w:cs="Arial"/>
                <w:sz w:val="22"/>
                <w:szCs w:val="22"/>
              </w:rPr>
              <w:t>and</w:t>
            </w:r>
            <w:r>
              <w:rPr>
                <w:rFonts w:ascii="Arial" w:hAnsi="Arial" w:cs="Arial"/>
                <w:sz w:val="22"/>
                <w:szCs w:val="22"/>
              </w:rPr>
              <w:t xml:space="preserve"> July 2021. Non-compliance was identified with the following provisions: </w:t>
            </w:r>
          </w:p>
          <w:p w14:paraId="3069CAC5" w14:textId="77777777" w:rsidR="00533ACA" w:rsidRDefault="00533ACA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594B9C3" w14:textId="77777777" w:rsidR="00533ACA" w:rsidRDefault="00533ACA" w:rsidP="00533ACA">
            <w:pPr>
              <w:pStyle w:val="Default"/>
              <w:numPr>
                <w:ilvl w:val="0"/>
                <w:numId w:val="14"/>
              </w:numPr>
              <w:spacing w:after="258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sections 51(2), 165, 167, 170(2) and 269(3) of the National Law; and </w:t>
            </w:r>
          </w:p>
          <w:p w14:paraId="15A751A6" w14:textId="77777777" w:rsidR="00533ACA" w:rsidRDefault="00533ACA" w:rsidP="00533ACA">
            <w:pPr>
              <w:pStyle w:val="Default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sections 77, 80, 82, 97, 99, 102, 103, 104, 116, 160, 163, 165, 170, 170(2), 171(1) and 177 of the National Regulations. </w:t>
            </w:r>
          </w:p>
          <w:p w14:paraId="4EF3FEAF" w14:textId="77777777" w:rsidR="00533ACA" w:rsidRDefault="00533ACA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17E4DF4" w14:textId="46B1F32F" w:rsidR="00533ACA" w:rsidRDefault="00533ACA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Further information about the provisions of the National Law</w:t>
            </w:r>
            <w:r w:rsidR="00DE1B14">
              <w:rPr>
                <w:rFonts w:ascii="Arial" w:hAnsi="Arial" w:cs="Arial"/>
                <w:sz w:val="22"/>
                <w:szCs w:val="22"/>
              </w:rPr>
              <w:t xml:space="preserve"> that were breached can be found </w:t>
            </w:r>
            <w:hyperlink r:id="rId11" w:history="1">
              <w:r w:rsidR="00DE1B14" w:rsidRPr="00DE1B14">
                <w:rPr>
                  <w:rStyle w:val="Hyperlink"/>
                  <w:rFonts w:ascii="Arial" w:hAnsi="Arial" w:cs="Arial"/>
                  <w:sz w:val="22"/>
                  <w:szCs w:val="22"/>
                </w:rPr>
                <w:t>here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="00BA4B1E">
              <w:rPr>
                <w:rFonts w:ascii="Arial" w:hAnsi="Arial" w:cs="Arial"/>
                <w:sz w:val="22"/>
                <w:szCs w:val="22"/>
              </w:rPr>
              <w:t xml:space="preserve"> information about the provisions of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4B1E">
              <w:rPr>
                <w:rFonts w:ascii="Arial" w:hAnsi="Arial" w:cs="Arial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sz w:val="22"/>
                <w:szCs w:val="22"/>
              </w:rPr>
              <w:t xml:space="preserve">National Regulations that were breached can be found </w:t>
            </w:r>
            <w:hyperlink r:id="rId12" w:history="1">
              <w:r w:rsidR="00DE1B14" w:rsidRPr="00DE1B14">
                <w:rPr>
                  <w:rStyle w:val="Hyperlink"/>
                  <w:rFonts w:ascii="Arial" w:hAnsi="Arial" w:cs="Arial"/>
                  <w:sz w:val="22"/>
                  <w:szCs w:val="22"/>
                </w:rPr>
                <w:t>he</w:t>
              </w:r>
              <w:bookmarkStart w:id="0" w:name="_GoBack"/>
              <w:bookmarkEnd w:id="0"/>
              <w:r w:rsidR="00DE1B14" w:rsidRPr="00DE1B14">
                <w:rPr>
                  <w:rStyle w:val="Hyperlink"/>
                  <w:rFonts w:ascii="Arial" w:hAnsi="Arial" w:cs="Arial"/>
                  <w:sz w:val="22"/>
                  <w:szCs w:val="22"/>
                </w:rPr>
                <w:t>re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5813CF7" w14:textId="77777777" w:rsidR="00533ACA" w:rsidRDefault="00533ACA">
            <w:pPr>
              <w:pStyle w:val="Default"/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3ACA" w14:paraId="4F16FAFD" w14:textId="77777777" w:rsidTr="00533ACA">
        <w:trPr>
          <w:trHeight w:val="994"/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4541E71C" w14:textId="77777777" w:rsidR="00533ACA" w:rsidRDefault="00533ACA" w:rsidP="00533ACA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 w:line="276" w:lineRule="auto"/>
              <w:ind w:righ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agreed undertaking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hideMark/>
          </w:tcPr>
          <w:p w14:paraId="0C4C08FF" w14:textId="77777777" w:rsidR="00533ACA" w:rsidRDefault="00533ACA">
            <w:pPr>
              <w:pStyle w:val="NormalWeb"/>
              <w:spacing w:before="0" w:beforeAutospacing="0" w:after="0" w:afterAutospacing="0" w:line="276" w:lineRule="auto"/>
              <w:ind w:right="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 November 2022</w:t>
            </w:r>
          </w:p>
          <w:p w14:paraId="5C01E0B9" w14:textId="77777777" w:rsidR="00533ACA" w:rsidRDefault="00533ACA">
            <w:pPr>
              <w:pStyle w:val="NormalWeb"/>
              <w:spacing w:before="0" w:beforeAutospacing="0" w:after="0" w:afterAutospacing="0" w:line="276" w:lineRule="auto"/>
              <w:ind w:right="10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 a term of 12 months</w:t>
            </w:r>
          </w:p>
        </w:tc>
      </w:tr>
      <w:tr w:rsidR="00533ACA" w14:paraId="6A6DF3F7" w14:textId="77777777" w:rsidTr="00533ACA">
        <w:trPr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3FA79753" w14:textId="77777777" w:rsidR="00533ACA" w:rsidRDefault="00533ACA" w:rsidP="00533ACA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Details of Enforceable Undertaking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B6515B5" w14:textId="77777777" w:rsidR="00533ACA" w:rsidRDefault="00533ACA">
            <w:pPr>
              <w:spacing w:before="120" w:after="120" w:line="240" w:lineRule="auto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eastAsia="Times New Roman" w:hAnsi="Arial" w:cs="Arial"/>
                <w:lang w:eastAsia="en-US"/>
              </w:rPr>
              <w:t>The approved provider undertakes to:</w:t>
            </w:r>
          </w:p>
          <w:p w14:paraId="0FFE9055" w14:textId="77777777" w:rsidR="00533ACA" w:rsidRDefault="00533ACA" w:rsidP="00533ACA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</w:rPr>
              <w:t>Develop and finalise a clear Change Implementation Plan that identifies timeframes and persons responsible for implementing updated:</w:t>
            </w:r>
          </w:p>
          <w:p w14:paraId="33F3BC9C" w14:textId="77777777" w:rsidR="00533ACA" w:rsidRDefault="00533ACA" w:rsidP="00533ACA">
            <w:pPr>
              <w:pStyle w:val="ListParagraph"/>
              <w:numPr>
                <w:ilvl w:val="1"/>
                <w:numId w:val="17"/>
              </w:numPr>
              <w:spacing w:before="120" w:after="120" w:line="240" w:lineRule="auto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governance arrangements</w:t>
            </w:r>
          </w:p>
          <w:p w14:paraId="28977B33" w14:textId="77777777" w:rsidR="00533ACA" w:rsidRDefault="00533ACA" w:rsidP="00533ACA">
            <w:pPr>
              <w:pStyle w:val="ListParagraph"/>
              <w:numPr>
                <w:ilvl w:val="1"/>
                <w:numId w:val="17"/>
              </w:numPr>
              <w:spacing w:before="120" w:after="120" w:line="240" w:lineRule="auto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policies and procedures</w:t>
            </w:r>
          </w:p>
          <w:p w14:paraId="565E14CA" w14:textId="77777777" w:rsidR="00533ACA" w:rsidRDefault="00533ACA" w:rsidP="00533ACA">
            <w:pPr>
              <w:pStyle w:val="ListParagraph"/>
              <w:numPr>
                <w:ilvl w:val="1"/>
                <w:numId w:val="17"/>
              </w:numPr>
              <w:spacing w:before="120" w:after="120" w:line="240" w:lineRule="auto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programs and resources</w:t>
            </w:r>
          </w:p>
          <w:p w14:paraId="72506B3D" w14:textId="77777777" w:rsidR="00533ACA" w:rsidRDefault="00533ACA" w:rsidP="00533ACA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Develop an Organisational Chart that details systemic governance controls and responsibilities</w:t>
            </w:r>
          </w:p>
          <w:p w14:paraId="122EE58B" w14:textId="77777777" w:rsidR="00533ACA" w:rsidRDefault="00533ACA" w:rsidP="00533ACA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 xml:space="preserve">Develop a Non-Compliance Response Process for pro-active identification and response to non-compliance </w:t>
            </w:r>
          </w:p>
          <w:p w14:paraId="2C28CC01" w14:textId="77777777" w:rsidR="00533ACA" w:rsidRDefault="00533ACA" w:rsidP="00533ACA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lastRenderedPageBreak/>
              <w:t>Develop a Learning Management system to ensure staff training is current and complete</w:t>
            </w:r>
          </w:p>
          <w:p w14:paraId="34271948" w14:textId="77777777" w:rsidR="00533ACA" w:rsidRDefault="00533ACA" w:rsidP="00533ACA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Develop an Onboarding System that ensures relevant suitability checks are undertaken in the recruitment of staff</w:t>
            </w:r>
          </w:p>
          <w:p w14:paraId="5B01AD9B" w14:textId="114F2144" w:rsidR="00533ACA" w:rsidRDefault="00533ACA" w:rsidP="00533ACA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Develop an Audit System to monitor compliance with the systems introduced under this enforceable undertaking, and submit completed audit reports in line with this system to the Regulatory Authority.</w:t>
            </w:r>
          </w:p>
        </w:tc>
      </w:tr>
      <w:tr w:rsidR="00533ACA" w14:paraId="360B0FCC" w14:textId="77777777" w:rsidTr="00533ACA">
        <w:trPr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173530B6" w14:textId="77777777" w:rsidR="00533ACA" w:rsidRDefault="00533ACA" w:rsidP="005C0B15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Steps taken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3CF6933" w14:textId="446F079A" w:rsidR="00DE1B14" w:rsidRDefault="00DE1B1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address the immediate risk</w:t>
            </w:r>
            <w:r w:rsidR="00B241E6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presented by the identified non-compliance, and to ensure timely rectification of the non-compliance, the regulatory authority issued </w:t>
            </w:r>
            <w:r w:rsidR="007D5887">
              <w:rPr>
                <w:rFonts w:ascii="Arial" w:hAnsi="Arial" w:cs="Arial"/>
              </w:rPr>
              <w:t xml:space="preserve">12 Emergency Action Notices, </w:t>
            </w:r>
            <w:r w:rsidR="007D5887" w:rsidRPr="007D5887">
              <w:rPr>
                <w:rFonts w:ascii="Arial" w:hAnsi="Arial" w:cs="Arial"/>
              </w:rPr>
              <w:t>with which the approved provider complied</w:t>
            </w:r>
            <w:r w:rsidR="00B241E6">
              <w:rPr>
                <w:rFonts w:ascii="Arial" w:hAnsi="Arial" w:cs="Arial"/>
              </w:rPr>
              <w:t xml:space="preserve"> by taking all the specified steps to rectify the identified risks</w:t>
            </w:r>
            <w:r w:rsidR="007D5887" w:rsidRPr="007D5887">
              <w:rPr>
                <w:rFonts w:ascii="Arial" w:hAnsi="Arial" w:cs="Arial"/>
              </w:rPr>
              <w:t>.</w:t>
            </w:r>
          </w:p>
          <w:p w14:paraId="409F4A55" w14:textId="77777777" w:rsidR="00DE1B14" w:rsidRDefault="00DE1B1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ascii="Arial" w:hAnsi="Arial" w:cs="Arial"/>
              </w:rPr>
            </w:pPr>
          </w:p>
          <w:p w14:paraId="6E9A71C2" w14:textId="33CB2E03" w:rsidR="00DE1B14" w:rsidRPr="002065A4" w:rsidRDefault="007D588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support the approved provider’s ongoing compliance with the National Law and Regulations, t</w:t>
            </w:r>
            <w:r w:rsidR="00533ACA">
              <w:rPr>
                <w:rFonts w:ascii="Arial" w:hAnsi="Arial" w:cs="Arial"/>
              </w:rPr>
              <w:t>he regulatory authority has accepted a written undertaking from the approved provider in line with the terms above</w:t>
            </w:r>
            <w:r w:rsidR="003D158C">
              <w:rPr>
                <w:rFonts w:ascii="Arial" w:hAnsi="Arial" w:cs="Arial"/>
              </w:rPr>
              <w:t xml:space="preserve"> and will monitor compliance with this undertaking over its 12 months duration</w:t>
            </w:r>
            <w:r w:rsidR="00533ACA">
              <w:rPr>
                <w:rFonts w:ascii="Arial" w:hAnsi="Arial" w:cs="Arial"/>
              </w:rPr>
              <w:t>.</w:t>
            </w:r>
            <w:r w:rsidR="00DE1B14">
              <w:rPr>
                <w:rFonts w:ascii="Arial" w:hAnsi="Arial" w:cs="Arial"/>
              </w:rPr>
              <w:t xml:space="preserve"> Failure to comply with the undertaking may result in the regulatory authority pursuing further enforcement action, including prosecution.</w:t>
            </w:r>
            <w:r w:rsidR="00DE1B14" w:rsidRPr="002065A4">
              <w:rPr>
                <w:rFonts w:ascii="Arial" w:hAnsi="Arial" w:cs="Arial"/>
              </w:rPr>
              <w:t xml:space="preserve"> </w:t>
            </w:r>
          </w:p>
        </w:tc>
      </w:tr>
    </w:tbl>
    <w:p w14:paraId="6169C360" w14:textId="77777777" w:rsidR="00533ACA" w:rsidRDefault="00533ACA" w:rsidP="00533ACA"/>
    <w:p w14:paraId="7EFFFD60" w14:textId="77777777" w:rsidR="0006341E" w:rsidRPr="00533ACA" w:rsidRDefault="0006341E" w:rsidP="00533ACA"/>
    <w:sectPr w:rsidR="0006341E" w:rsidRPr="00533ACA" w:rsidSect="007800B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0EDBD" w14:textId="77777777" w:rsidR="005D5FD2" w:rsidRDefault="005D5FD2" w:rsidP="005D5FD2">
      <w:pPr>
        <w:spacing w:after="0" w:line="240" w:lineRule="auto"/>
      </w:pPr>
      <w:r>
        <w:separator/>
      </w:r>
    </w:p>
  </w:endnote>
  <w:endnote w:type="continuationSeparator" w:id="0">
    <w:p w14:paraId="61511CCB" w14:textId="77777777" w:rsidR="005D5FD2" w:rsidRDefault="005D5FD2" w:rsidP="005D5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80B54" w14:textId="77777777" w:rsidR="005D5FD2" w:rsidRDefault="005D5F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EC89A" w14:textId="12239E6F" w:rsidR="005D5FD2" w:rsidRPr="005D5FD2" w:rsidRDefault="005D5FD2">
    <w:pPr>
      <w:pStyle w:val="Footer"/>
      <w:rPr>
        <w:rFonts w:ascii="Arial" w:hAnsi="Arial" w:cs="Arial"/>
      </w:rPr>
    </w:pPr>
    <w:r w:rsidRPr="005D5FD2">
      <w:rPr>
        <w:rFonts w:ascii="Arial" w:hAnsi="Arial" w:cs="Arial"/>
      </w:rPr>
      <w:t>Ref: CM 21/729301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14D94" w14:textId="77777777" w:rsidR="005D5FD2" w:rsidRDefault="005D5F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4AE12" w14:textId="77777777" w:rsidR="005D5FD2" w:rsidRDefault="005D5FD2" w:rsidP="005D5FD2">
      <w:pPr>
        <w:spacing w:after="0" w:line="240" w:lineRule="auto"/>
      </w:pPr>
      <w:r>
        <w:separator/>
      </w:r>
    </w:p>
  </w:footnote>
  <w:footnote w:type="continuationSeparator" w:id="0">
    <w:p w14:paraId="581E7F37" w14:textId="77777777" w:rsidR="005D5FD2" w:rsidRDefault="005D5FD2" w:rsidP="005D5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D437F" w14:textId="77777777" w:rsidR="005D5FD2" w:rsidRDefault="005D5F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9878C" w14:textId="77777777" w:rsidR="005D5FD2" w:rsidRDefault="005D5F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E50CE" w14:textId="77777777" w:rsidR="005D5FD2" w:rsidRDefault="005D5F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DA84742"/>
    <w:multiLevelType w:val="hybridMultilevel"/>
    <w:tmpl w:val="BB6A3A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B25ACF"/>
    <w:multiLevelType w:val="hybridMultilevel"/>
    <w:tmpl w:val="FBB84390"/>
    <w:lvl w:ilvl="0" w:tplc="0C090019">
      <w:start w:val="1"/>
      <w:numFmt w:val="lowerLetter"/>
      <w:lvlText w:val="%1."/>
      <w:lvlJc w:val="left"/>
      <w:pPr>
        <w:ind w:left="1158" w:hanging="360"/>
      </w:pPr>
    </w:lvl>
    <w:lvl w:ilvl="1" w:tplc="0C090019" w:tentative="1">
      <w:start w:val="1"/>
      <w:numFmt w:val="lowerLetter"/>
      <w:lvlText w:val="%2."/>
      <w:lvlJc w:val="left"/>
      <w:pPr>
        <w:ind w:left="1878" w:hanging="360"/>
      </w:pPr>
    </w:lvl>
    <w:lvl w:ilvl="2" w:tplc="0C09001B" w:tentative="1">
      <w:start w:val="1"/>
      <w:numFmt w:val="lowerRoman"/>
      <w:lvlText w:val="%3."/>
      <w:lvlJc w:val="right"/>
      <w:pPr>
        <w:ind w:left="2598" w:hanging="180"/>
      </w:pPr>
    </w:lvl>
    <w:lvl w:ilvl="3" w:tplc="0C09000F" w:tentative="1">
      <w:start w:val="1"/>
      <w:numFmt w:val="decimal"/>
      <w:lvlText w:val="%4."/>
      <w:lvlJc w:val="left"/>
      <w:pPr>
        <w:ind w:left="3318" w:hanging="360"/>
      </w:pPr>
    </w:lvl>
    <w:lvl w:ilvl="4" w:tplc="0C090019" w:tentative="1">
      <w:start w:val="1"/>
      <w:numFmt w:val="lowerLetter"/>
      <w:lvlText w:val="%5."/>
      <w:lvlJc w:val="left"/>
      <w:pPr>
        <w:ind w:left="4038" w:hanging="360"/>
      </w:pPr>
    </w:lvl>
    <w:lvl w:ilvl="5" w:tplc="0C09001B" w:tentative="1">
      <w:start w:val="1"/>
      <w:numFmt w:val="lowerRoman"/>
      <w:lvlText w:val="%6."/>
      <w:lvlJc w:val="right"/>
      <w:pPr>
        <w:ind w:left="4758" w:hanging="180"/>
      </w:pPr>
    </w:lvl>
    <w:lvl w:ilvl="6" w:tplc="0C09000F" w:tentative="1">
      <w:start w:val="1"/>
      <w:numFmt w:val="decimal"/>
      <w:lvlText w:val="%7."/>
      <w:lvlJc w:val="left"/>
      <w:pPr>
        <w:ind w:left="5478" w:hanging="360"/>
      </w:pPr>
    </w:lvl>
    <w:lvl w:ilvl="7" w:tplc="0C090019" w:tentative="1">
      <w:start w:val="1"/>
      <w:numFmt w:val="lowerLetter"/>
      <w:lvlText w:val="%8."/>
      <w:lvlJc w:val="left"/>
      <w:pPr>
        <w:ind w:left="6198" w:hanging="360"/>
      </w:pPr>
    </w:lvl>
    <w:lvl w:ilvl="8" w:tplc="0C0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2" w15:restartNumberingAfterBreak="0">
    <w:nsid w:val="077D73DE"/>
    <w:multiLevelType w:val="multilevel"/>
    <w:tmpl w:val="2864FF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lowerRoman"/>
      <w:lvlText w:val="(%5)"/>
      <w:lvlJc w:val="left"/>
      <w:pPr>
        <w:tabs>
          <w:tab w:val="num" w:pos="3780"/>
        </w:tabs>
        <w:ind w:left="349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A6F282B"/>
    <w:multiLevelType w:val="hybridMultilevel"/>
    <w:tmpl w:val="51A21144"/>
    <w:lvl w:ilvl="0" w:tplc="2D7073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D1EF6"/>
    <w:multiLevelType w:val="hybridMultilevel"/>
    <w:tmpl w:val="EA1A6EE2"/>
    <w:lvl w:ilvl="0" w:tplc="0C09001B">
      <w:start w:val="1"/>
      <w:numFmt w:val="lowerRoman"/>
      <w:lvlText w:val="%1."/>
      <w:lvlJc w:val="right"/>
      <w:pPr>
        <w:ind w:left="1140" w:hanging="360"/>
      </w:pPr>
    </w:lvl>
    <w:lvl w:ilvl="1" w:tplc="0C090019">
      <w:start w:val="1"/>
      <w:numFmt w:val="lowerLetter"/>
      <w:lvlText w:val="%2."/>
      <w:lvlJc w:val="left"/>
      <w:pPr>
        <w:ind w:left="1860" w:hanging="360"/>
      </w:pPr>
    </w:lvl>
    <w:lvl w:ilvl="2" w:tplc="0C09001B" w:tentative="1">
      <w:start w:val="1"/>
      <w:numFmt w:val="lowerRoman"/>
      <w:lvlText w:val="%3."/>
      <w:lvlJc w:val="right"/>
      <w:pPr>
        <w:ind w:left="2580" w:hanging="180"/>
      </w:pPr>
    </w:lvl>
    <w:lvl w:ilvl="3" w:tplc="0C09000F" w:tentative="1">
      <w:start w:val="1"/>
      <w:numFmt w:val="decimal"/>
      <w:lvlText w:val="%4."/>
      <w:lvlJc w:val="left"/>
      <w:pPr>
        <w:ind w:left="3300" w:hanging="360"/>
      </w:pPr>
    </w:lvl>
    <w:lvl w:ilvl="4" w:tplc="0C090019" w:tentative="1">
      <w:start w:val="1"/>
      <w:numFmt w:val="lowerLetter"/>
      <w:lvlText w:val="%5."/>
      <w:lvlJc w:val="left"/>
      <w:pPr>
        <w:ind w:left="4020" w:hanging="360"/>
      </w:pPr>
    </w:lvl>
    <w:lvl w:ilvl="5" w:tplc="0C09001B" w:tentative="1">
      <w:start w:val="1"/>
      <w:numFmt w:val="lowerRoman"/>
      <w:lvlText w:val="%6."/>
      <w:lvlJc w:val="right"/>
      <w:pPr>
        <w:ind w:left="4740" w:hanging="180"/>
      </w:pPr>
    </w:lvl>
    <w:lvl w:ilvl="6" w:tplc="0C09000F" w:tentative="1">
      <w:start w:val="1"/>
      <w:numFmt w:val="decimal"/>
      <w:lvlText w:val="%7."/>
      <w:lvlJc w:val="left"/>
      <w:pPr>
        <w:ind w:left="5460" w:hanging="360"/>
      </w:pPr>
    </w:lvl>
    <w:lvl w:ilvl="7" w:tplc="0C090019" w:tentative="1">
      <w:start w:val="1"/>
      <w:numFmt w:val="lowerLetter"/>
      <w:lvlText w:val="%8."/>
      <w:lvlJc w:val="left"/>
      <w:pPr>
        <w:ind w:left="6180" w:hanging="360"/>
      </w:pPr>
    </w:lvl>
    <w:lvl w:ilvl="8" w:tplc="0C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33CA7E33"/>
    <w:multiLevelType w:val="hybridMultilevel"/>
    <w:tmpl w:val="854AE23A"/>
    <w:lvl w:ilvl="0" w:tplc="0C090019">
      <w:start w:val="1"/>
      <w:numFmt w:val="lowerLetter"/>
      <w:lvlText w:val="%1."/>
      <w:lvlJc w:val="left"/>
      <w:pPr>
        <w:ind w:left="1077" w:hanging="360"/>
      </w:p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36534A32"/>
    <w:multiLevelType w:val="hybridMultilevel"/>
    <w:tmpl w:val="C7A208C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455843"/>
    <w:multiLevelType w:val="hybridMultilevel"/>
    <w:tmpl w:val="70E442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1537F"/>
    <w:multiLevelType w:val="hybridMultilevel"/>
    <w:tmpl w:val="1108A11A"/>
    <w:lvl w:ilvl="0" w:tplc="0C090019">
      <w:start w:val="1"/>
      <w:numFmt w:val="lowerLetter"/>
      <w:lvlText w:val="%1."/>
      <w:lvlJc w:val="left"/>
      <w:pPr>
        <w:ind w:left="1077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423232A4"/>
    <w:multiLevelType w:val="hybridMultilevel"/>
    <w:tmpl w:val="E278BEA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BE08FB"/>
    <w:multiLevelType w:val="hybridMultilevel"/>
    <w:tmpl w:val="4B08DEBA"/>
    <w:lvl w:ilvl="0" w:tplc="0C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3E2EECE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608D583D"/>
    <w:multiLevelType w:val="hybridMultilevel"/>
    <w:tmpl w:val="4B08DEB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2EECE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7714036A"/>
    <w:multiLevelType w:val="hybridMultilevel"/>
    <w:tmpl w:val="684EE5BE"/>
    <w:lvl w:ilvl="0" w:tplc="0C090019">
      <w:start w:val="1"/>
      <w:numFmt w:val="lowerLetter"/>
      <w:lvlText w:val="%1."/>
      <w:lvlJc w:val="left"/>
      <w:pPr>
        <w:ind w:left="115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ind w:left="6918" w:hanging="180"/>
      </w:p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2"/>
  </w:num>
  <w:num w:numId="5">
    <w:abstractNumId w:val="10"/>
  </w:num>
  <w:num w:numId="6">
    <w:abstractNumId w:val="5"/>
  </w:num>
  <w:num w:numId="7">
    <w:abstractNumId w:val="8"/>
  </w:num>
  <w:num w:numId="8">
    <w:abstractNumId w:val="0"/>
  </w:num>
  <w:num w:numId="9">
    <w:abstractNumId w:val="7"/>
  </w:num>
  <w:num w:numId="10">
    <w:abstractNumId w:val="4"/>
  </w:num>
  <w:num w:numId="11">
    <w:abstractNumId w:val="3"/>
  </w:num>
  <w:num w:numId="12">
    <w:abstractNumId w:val="9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41E"/>
    <w:rsid w:val="0006341E"/>
    <w:rsid w:val="00080148"/>
    <w:rsid w:val="000C6C8A"/>
    <w:rsid w:val="000E59B9"/>
    <w:rsid w:val="00116B9C"/>
    <w:rsid w:val="00137F73"/>
    <w:rsid w:val="00144AAE"/>
    <w:rsid w:val="00153CE5"/>
    <w:rsid w:val="001D3D01"/>
    <w:rsid w:val="002065A4"/>
    <w:rsid w:val="00217F3A"/>
    <w:rsid w:val="002227B0"/>
    <w:rsid w:val="002A6906"/>
    <w:rsid w:val="002D113C"/>
    <w:rsid w:val="002E58E6"/>
    <w:rsid w:val="00300C24"/>
    <w:rsid w:val="003228E7"/>
    <w:rsid w:val="003558FE"/>
    <w:rsid w:val="003D158C"/>
    <w:rsid w:val="003E57B9"/>
    <w:rsid w:val="004D4C53"/>
    <w:rsid w:val="00514112"/>
    <w:rsid w:val="00521C39"/>
    <w:rsid w:val="00533ACA"/>
    <w:rsid w:val="00586B44"/>
    <w:rsid w:val="005873C9"/>
    <w:rsid w:val="005C0B15"/>
    <w:rsid w:val="005C5133"/>
    <w:rsid w:val="005D5FD2"/>
    <w:rsid w:val="005F59DA"/>
    <w:rsid w:val="006073DE"/>
    <w:rsid w:val="00677B18"/>
    <w:rsid w:val="00690F5E"/>
    <w:rsid w:val="006A0D5A"/>
    <w:rsid w:val="006C451F"/>
    <w:rsid w:val="007800BF"/>
    <w:rsid w:val="007D5887"/>
    <w:rsid w:val="007E1D0B"/>
    <w:rsid w:val="0080785F"/>
    <w:rsid w:val="008A611D"/>
    <w:rsid w:val="00911073"/>
    <w:rsid w:val="0095261A"/>
    <w:rsid w:val="00A23AD8"/>
    <w:rsid w:val="00A4402B"/>
    <w:rsid w:val="00A46982"/>
    <w:rsid w:val="00A75884"/>
    <w:rsid w:val="00AF3758"/>
    <w:rsid w:val="00B241E6"/>
    <w:rsid w:val="00B332ED"/>
    <w:rsid w:val="00B63B30"/>
    <w:rsid w:val="00B66852"/>
    <w:rsid w:val="00B769FC"/>
    <w:rsid w:val="00BA008E"/>
    <w:rsid w:val="00BA4B1E"/>
    <w:rsid w:val="00BD0655"/>
    <w:rsid w:val="00C31B38"/>
    <w:rsid w:val="00C9125B"/>
    <w:rsid w:val="00D70203"/>
    <w:rsid w:val="00DE1B14"/>
    <w:rsid w:val="00E206B3"/>
    <w:rsid w:val="00E70754"/>
    <w:rsid w:val="00E81C38"/>
    <w:rsid w:val="00EA1824"/>
    <w:rsid w:val="00ED199E"/>
    <w:rsid w:val="00F17298"/>
    <w:rsid w:val="00F41C0C"/>
    <w:rsid w:val="00F57D69"/>
    <w:rsid w:val="00FD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ABFC8"/>
  <w15:docId w15:val="{85550CA3-CF6C-43C2-B0E1-7417D0BB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34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copy,Bullet Points"/>
    <w:basedOn w:val="Normal"/>
    <w:link w:val="ListParagraphChar"/>
    <w:uiPriority w:val="34"/>
    <w:qFormat/>
    <w:rsid w:val="0006341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341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ListParagraphChar">
    <w:name w:val="List Paragraph Char"/>
    <w:aliases w:val="Bullet copy Char,Bullet Points Char"/>
    <w:link w:val="ListParagraph"/>
    <w:uiPriority w:val="34"/>
    <w:locked/>
    <w:rsid w:val="00514112"/>
  </w:style>
  <w:style w:type="character" w:styleId="CommentReference">
    <w:name w:val="annotation reference"/>
    <w:basedOn w:val="DefaultParagraphFont"/>
    <w:uiPriority w:val="99"/>
    <w:semiHidden/>
    <w:unhideWhenUsed/>
    <w:rsid w:val="00A46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69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69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9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98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D5F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FD2"/>
  </w:style>
  <w:style w:type="paragraph" w:styleId="Footer">
    <w:name w:val="footer"/>
    <w:basedOn w:val="Normal"/>
    <w:link w:val="FooterChar"/>
    <w:uiPriority w:val="99"/>
    <w:unhideWhenUsed/>
    <w:rsid w:val="005D5F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FD2"/>
  </w:style>
  <w:style w:type="paragraph" w:customStyle="1" w:styleId="Default">
    <w:name w:val="Default"/>
    <w:uiPriority w:val="99"/>
    <w:rsid w:val="00144AA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F59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59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A18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8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qld.gov.au/view/html/inforce/current/sl-2011-ecsnr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qld.gov.au/view/html/inforce/current/act-2013-ecsnlq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DELIZO, Dan</DisplayName>
        <AccountId>21</AccountId>
        <AccountType/>
      </UserInfo>
    </PPModeratedBy>
    <PPPublishedNotificationAddresses xmlns="687c0ba5-25f6-467d-a8e9-4285ca7a69ae" xsi:nil="true"/>
    <PPContentAuthor xmlns="687c0ba5-25f6-467d-a8e9-4285ca7a69ae">
      <UserInfo>
        <DisplayName>System Account</DisplayName>
        <AccountId>1073741823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2025-05-19T22:56:52+00:00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/>
        <AccountId xsi:nil="true"/>
        <AccountType/>
      </UserInfo>
    </PPContentOwner>
    <PPLastReviewedDate xmlns="687c0ba5-25f6-467d-a8e9-4285ca7a69ae">2025-05-19T22:56:52+00:00</PPLastReviewedDate>
    <PPSubmittedDate xmlns="687c0ba5-25f6-467d-a8e9-4285ca7a69ae">2023-08-10T23:06:02+00:00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DELIZO, Dan</DisplayName>
        <AccountId>21</AccountId>
        <AccountType/>
      </UserInfo>
    </PPLastReviewedB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A9ED383340B141B424EE441194D85C" ma:contentTypeVersion="1" ma:contentTypeDescription="Create a new document." ma:contentTypeScope="" ma:versionID="551fb611d8d0129a76161a30800b8b1b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7e459ad6c6b03efff936b0a3385302a7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End Date" ma:description="The end date and time of the alert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DBD87-3B63-40CB-A331-FAF1E32CF496}"/>
</file>

<file path=customXml/itemProps2.xml><?xml version="1.0" encoding="utf-8"?>
<ds:datastoreItem xmlns:ds="http://schemas.openxmlformats.org/officeDocument/2006/customXml" ds:itemID="{EA6B2015-B1CA-4B27-9844-859B18DAEAEB}"/>
</file>

<file path=customXml/itemProps3.xml><?xml version="1.0" encoding="utf-8"?>
<ds:datastoreItem xmlns:ds="http://schemas.openxmlformats.org/officeDocument/2006/customXml" ds:itemID="{AEE92ACD-B407-4FA2-8F27-EDF7F5DD718A}"/>
</file>

<file path=customXml/itemProps4.xml><?xml version="1.0" encoding="utf-8"?>
<ds:datastoreItem xmlns:ds="http://schemas.openxmlformats.org/officeDocument/2006/customXml" ds:itemID="{DBCECCFD-21B4-449D-809E-C374D91B9D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Centre-based-service—educator</vt:lpstr>
    </vt:vector>
  </TitlesOfParts>
  <Company>Queensland Government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Enforceable undertaking - Centre-based-service—educator</dc:title>
  <dc:subject>Centre-based-service—educator</dc:subject>
  <dc:creator>Queensland Goverment</dc:creator>
  <cp:keywords>Centre-based-service; educator</cp:keywords>
  <cp:lastModifiedBy>MCLUCKIE, Erica</cp:lastModifiedBy>
  <cp:revision>11</cp:revision>
  <dcterms:created xsi:type="dcterms:W3CDTF">2023-02-14T02:50:00Z</dcterms:created>
  <dcterms:modified xsi:type="dcterms:W3CDTF">2023-03-19T02:50:00Z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0x01010053A9ED383340B141B424EE441194D85C</vt:lpwstr>
  </property>
</Properties>
</file>