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0802" w14:textId="77777777" w:rsidR="00F17298" w:rsidRDefault="00F17298"/>
    <w:p w14:paraId="760B03FF" w14:textId="77777777"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485"/>
        <w:gridCol w:w="6525"/>
      </w:tblGrid>
      <w:tr w:rsidR="0006341E" w:rsidRPr="00A11B66" w14:paraId="24AAB737" w14:textId="77777777" w:rsidTr="00B75013">
        <w:trPr>
          <w:tblCellSpacing w:w="20" w:type="dxa"/>
        </w:trPr>
        <w:tc>
          <w:tcPr>
            <w:tcW w:w="4956" w:type="pct"/>
            <w:gridSpan w:val="2"/>
            <w:tcBorders>
              <w:top w:val="inset" w:sz="6" w:space="0" w:color="auto"/>
              <w:left w:val="inset" w:sz="6" w:space="0" w:color="auto"/>
              <w:bottom w:val="inset" w:sz="6" w:space="0" w:color="auto"/>
              <w:right w:val="inset" w:sz="6" w:space="0" w:color="auto"/>
            </w:tcBorders>
            <w:shd w:val="clear" w:color="auto" w:fill="CCCCCC"/>
            <w:hideMark/>
          </w:tcPr>
          <w:p w14:paraId="1FA55496" w14:textId="77777777" w:rsidR="0006341E" w:rsidRPr="00A11B66" w:rsidRDefault="0006341E" w:rsidP="00603CC6">
            <w:pPr>
              <w:pStyle w:val="NormalWeb"/>
              <w:jc w:val="center"/>
              <w:rPr>
                <w:rFonts w:ascii="Arial" w:hAnsi="Arial" w:cs="Arial"/>
                <w:b/>
                <w:sz w:val="20"/>
                <w:szCs w:val="20"/>
              </w:rPr>
            </w:pPr>
            <w:r w:rsidRPr="002E6F67">
              <w:rPr>
                <w:rFonts w:ascii="Arial" w:hAnsi="Arial" w:cs="Arial"/>
                <w:b/>
                <w:sz w:val="21"/>
                <w:szCs w:val="21"/>
              </w:rPr>
              <w:t>Details</w:t>
            </w:r>
          </w:p>
        </w:tc>
      </w:tr>
      <w:tr w:rsidR="00BC1D78" w:rsidRPr="00A11B66" w14:paraId="08454626" w14:textId="77777777" w:rsidTr="00225DBA">
        <w:trPr>
          <w:trHeight w:val="1079"/>
          <w:tblCellSpacing w:w="20" w:type="dxa"/>
        </w:trPr>
        <w:tc>
          <w:tcPr>
            <w:tcW w:w="1352" w:type="pct"/>
            <w:tcBorders>
              <w:top w:val="inset" w:sz="6" w:space="0" w:color="auto"/>
              <w:left w:val="inset" w:sz="6" w:space="0" w:color="auto"/>
              <w:right w:val="inset" w:sz="6" w:space="0" w:color="auto"/>
            </w:tcBorders>
            <w:shd w:val="clear" w:color="auto" w:fill="E6E6E6"/>
          </w:tcPr>
          <w:p w14:paraId="44437FB6" w14:textId="77777777" w:rsidR="00BC1D78" w:rsidRPr="002E6F67" w:rsidRDefault="00BC1D78" w:rsidP="0006341E">
            <w:pPr>
              <w:pStyle w:val="NormalWeb"/>
              <w:numPr>
                <w:ilvl w:val="0"/>
                <w:numId w:val="1"/>
              </w:numPr>
              <w:spacing w:before="0" w:beforeAutospacing="0" w:after="0" w:afterAutospacing="0"/>
              <w:rPr>
                <w:rFonts w:ascii="Arial" w:hAnsi="Arial" w:cs="Arial"/>
                <w:sz w:val="21"/>
                <w:szCs w:val="21"/>
              </w:rPr>
            </w:pPr>
            <w:r w:rsidRPr="002E6F67">
              <w:rPr>
                <w:rFonts w:ascii="Arial" w:hAnsi="Arial" w:cs="Arial"/>
                <w:sz w:val="21"/>
                <w:szCs w:val="21"/>
              </w:rPr>
              <w:t>Details of person /entity to whom the enforcement action relates</w:t>
            </w:r>
          </w:p>
        </w:tc>
        <w:tc>
          <w:tcPr>
            <w:tcW w:w="3582" w:type="pct"/>
            <w:tcBorders>
              <w:top w:val="inset" w:sz="6" w:space="0" w:color="auto"/>
              <w:left w:val="inset" w:sz="6" w:space="0" w:color="auto"/>
              <w:right w:val="inset" w:sz="6" w:space="0" w:color="auto"/>
            </w:tcBorders>
            <w:shd w:val="clear" w:color="auto" w:fill="D9D9D9" w:themeFill="background1" w:themeFillShade="D9"/>
          </w:tcPr>
          <w:p w14:paraId="1ED263A4" w14:textId="32F5F4E3" w:rsidR="00BC1D78" w:rsidRPr="006C451F" w:rsidRDefault="00BC1D78" w:rsidP="00603CC6">
            <w:pPr>
              <w:pStyle w:val="NormalWeb"/>
              <w:rPr>
                <w:rFonts w:ascii="Arial" w:hAnsi="Arial" w:cs="Arial"/>
                <w:sz w:val="22"/>
                <w:szCs w:val="22"/>
              </w:rPr>
            </w:pPr>
            <w:r>
              <w:rPr>
                <w:rFonts w:ascii="Arial" w:hAnsi="Arial" w:cs="Arial"/>
                <w:sz w:val="22"/>
                <w:szCs w:val="22"/>
              </w:rPr>
              <w:t>G8 Education Ltd</w:t>
            </w:r>
          </w:p>
        </w:tc>
      </w:tr>
      <w:tr w:rsidR="006D1046" w:rsidRPr="00A11B66" w14:paraId="0DA52BF7" w14:textId="77777777" w:rsidTr="00225DBA">
        <w:trPr>
          <w:trHeight w:val="577"/>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tcPr>
          <w:p w14:paraId="097F34F8" w14:textId="2AC74A7A" w:rsidR="006D1046" w:rsidRPr="002E6F67" w:rsidRDefault="00F25547" w:rsidP="0006341E">
            <w:pPr>
              <w:pStyle w:val="NormalWeb"/>
              <w:numPr>
                <w:ilvl w:val="0"/>
                <w:numId w:val="1"/>
              </w:numPr>
              <w:spacing w:before="0" w:beforeAutospacing="0" w:after="0" w:afterAutospacing="0"/>
              <w:rPr>
                <w:rFonts w:ascii="Arial" w:hAnsi="Arial" w:cs="Arial"/>
                <w:sz w:val="21"/>
                <w:szCs w:val="21"/>
              </w:rPr>
            </w:pPr>
            <w:r w:rsidRPr="002E6F67">
              <w:rPr>
                <w:rFonts w:ascii="Arial" w:hAnsi="Arial" w:cs="Arial"/>
                <w:sz w:val="21"/>
                <w:szCs w:val="21"/>
              </w:rPr>
              <w:t>Type of service</w:t>
            </w:r>
          </w:p>
        </w:tc>
        <w:tc>
          <w:tcPr>
            <w:tcW w:w="3582" w:type="pct"/>
            <w:tcBorders>
              <w:top w:val="inset" w:sz="6" w:space="0" w:color="auto"/>
              <w:left w:val="inset" w:sz="6" w:space="0" w:color="auto"/>
              <w:bottom w:val="inset" w:sz="6" w:space="0" w:color="auto"/>
              <w:right w:val="inset" w:sz="6" w:space="0" w:color="auto"/>
            </w:tcBorders>
          </w:tcPr>
          <w:p w14:paraId="701FC3BD" w14:textId="7D512B05" w:rsidR="006D1046" w:rsidRPr="00F25547" w:rsidRDefault="00BC1D78" w:rsidP="00C24F5A">
            <w:pPr>
              <w:pStyle w:val="NormalWeb"/>
              <w:spacing w:before="0" w:beforeAutospacing="0" w:after="120" w:afterAutospacing="0"/>
              <w:contextualSpacing/>
              <w:rPr>
                <w:rFonts w:ascii="Arial" w:hAnsi="Arial" w:cs="Arial"/>
                <w:sz w:val="22"/>
                <w:szCs w:val="22"/>
                <w:highlight w:val="yellow"/>
              </w:rPr>
            </w:pPr>
            <w:r w:rsidRPr="00BC1D78">
              <w:rPr>
                <w:rFonts w:ascii="Arial" w:hAnsi="Arial" w:cs="Arial"/>
                <w:sz w:val="22"/>
                <w:szCs w:val="22"/>
              </w:rPr>
              <w:t>Centre-based Day Care</w:t>
            </w:r>
          </w:p>
        </w:tc>
      </w:tr>
      <w:tr w:rsidR="0006341E" w:rsidRPr="00A11B66" w14:paraId="1C6BB56F" w14:textId="77777777" w:rsidTr="00225DBA">
        <w:trPr>
          <w:trHeight w:val="577"/>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hideMark/>
          </w:tcPr>
          <w:p w14:paraId="489A34DB" w14:textId="77777777" w:rsidR="0006341E" w:rsidRPr="002E6F67" w:rsidRDefault="0006341E" w:rsidP="0006341E">
            <w:pPr>
              <w:pStyle w:val="NormalWeb"/>
              <w:numPr>
                <w:ilvl w:val="0"/>
                <w:numId w:val="1"/>
              </w:numPr>
              <w:spacing w:before="0" w:beforeAutospacing="0" w:after="0" w:afterAutospacing="0"/>
              <w:rPr>
                <w:rFonts w:ascii="Arial" w:hAnsi="Arial" w:cs="Arial"/>
                <w:sz w:val="21"/>
                <w:szCs w:val="21"/>
              </w:rPr>
            </w:pPr>
            <w:r w:rsidRPr="002E6F67">
              <w:rPr>
                <w:rFonts w:ascii="Arial" w:hAnsi="Arial" w:cs="Arial"/>
                <w:sz w:val="21"/>
                <w:szCs w:val="21"/>
              </w:rPr>
              <w:t xml:space="preserve">Nature of Enforcement Action </w:t>
            </w:r>
          </w:p>
        </w:tc>
        <w:tc>
          <w:tcPr>
            <w:tcW w:w="3582" w:type="pct"/>
            <w:tcBorders>
              <w:top w:val="inset" w:sz="6" w:space="0" w:color="auto"/>
              <w:left w:val="inset" w:sz="6" w:space="0" w:color="auto"/>
              <w:bottom w:val="inset" w:sz="6" w:space="0" w:color="auto"/>
              <w:right w:val="inset" w:sz="6" w:space="0" w:color="auto"/>
            </w:tcBorders>
            <w:hideMark/>
          </w:tcPr>
          <w:p w14:paraId="5EEA953E" w14:textId="7F38D913" w:rsidR="00047892" w:rsidRDefault="00BC1D78"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Voluntary e</w:t>
            </w:r>
            <w:r w:rsidR="00525136">
              <w:rPr>
                <w:rFonts w:ascii="Arial" w:hAnsi="Arial" w:cs="Arial"/>
                <w:sz w:val="22"/>
                <w:szCs w:val="22"/>
              </w:rPr>
              <w:t xml:space="preserve">nforceable </w:t>
            </w:r>
            <w:r>
              <w:rPr>
                <w:rFonts w:ascii="Arial" w:hAnsi="Arial" w:cs="Arial"/>
                <w:sz w:val="22"/>
                <w:szCs w:val="22"/>
              </w:rPr>
              <w:t>u</w:t>
            </w:r>
            <w:r w:rsidR="00525136">
              <w:rPr>
                <w:rFonts w:ascii="Arial" w:hAnsi="Arial" w:cs="Arial"/>
                <w:sz w:val="22"/>
                <w:szCs w:val="22"/>
              </w:rPr>
              <w:t>ndertaking</w:t>
            </w:r>
          </w:p>
          <w:p w14:paraId="686C43A3" w14:textId="77777777" w:rsidR="00C24F5A" w:rsidRPr="00C24F5A" w:rsidRDefault="00C24F5A" w:rsidP="00C644FD">
            <w:pPr>
              <w:pStyle w:val="Heading2"/>
              <w:numPr>
                <w:ilvl w:val="0"/>
                <w:numId w:val="0"/>
              </w:numPr>
              <w:spacing w:before="120"/>
              <w:contextualSpacing/>
              <w:rPr>
                <w:rFonts w:ascii="Arial" w:hAnsi="Arial"/>
                <w:szCs w:val="20"/>
              </w:rPr>
            </w:pPr>
          </w:p>
        </w:tc>
      </w:tr>
      <w:tr w:rsidR="0006341E" w:rsidRPr="00A11B66" w14:paraId="1692C5FF" w14:textId="77777777" w:rsidTr="00225DBA">
        <w:trPr>
          <w:trHeight w:val="1131"/>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hideMark/>
          </w:tcPr>
          <w:p w14:paraId="6B1C2868" w14:textId="1ED3E3B8" w:rsidR="0006341E" w:rsidRPr="002E6F67" w:rsidRDefault="0006341E" w:rsidP="0006341E">
            <w:pPr>
              <w:pStyle w:val="NormalWeb"/>
              <w:numPr>
                <w:ilvl w:val="0"/>
                <w:numId w:val="1"/>
              </w:numPr>
              <w:spacing w:before="0" w:beforeAutospacing="0" w:after="0" w:afterAutospacing="0"/>
              <w:rPr>
                <w:rFonts w:ascii="Arial" w:hAnsi="Arial" w:cs="Arial"/>
                <w:sz w:val="21"/>
                <w:szCs w:val="21"/>
              </w:rPr>
            </w:pPr>
            <w:r w:rsidRPr="002E6F67">
              <w:rPr>
                <w:rFonts w:ascii="Arial" w:hAnsi="Arial" w:cs="Arial"/>
                <w:sz w:val="21"/>
                <w:szCs w:val="21"/>
              </w:rPr>
              <w:t xml:space="preserve">Reason for </w:t>
            </w:r>
            <w:r w:rsidR="00F25547" w:rsidRPr="002E6F67">
              <w:rPr>
                <w:rFonts w:ascii="Arial" w:hAnsi="Arial" w:cs="Arial"/>
                <w:sz w:val="21"/>
                <w:szCs w:val="21"/>
              </w:rPr>
              <w:t>Enforcement Action</w:t>
            </w:r>
          </w:p>
        </w:tc>
        <w:tc>
          <w:tcPr>
            <w:tcW w:w="3582" w:type="pct"/>
            <w:tcBorders>
              <w:top w:val="inset" w:sz="6" w:space="0" w:color="auto"/>
              <w:left w:val="inset" w:sz="6" w:space="0" w:color="auto"/>
              <w:bottom w:val="inset" w:sz="6" w:space="0" w:color="auto"/>
              <w:right w:val="inset" w:sz="6" w:space="0" w:color="auto"/>
            </w:tcBorders>
          </w:tcPr>
          <w:p w14:paraId="682FE98B" w14:textId="71AA34B0" w:rsidR="00B67979" w:rsidRDefault="00BC1D78" w:rsidP="00BC1D78">
            <w:pPr>
              <w:pStyle w:val="NormalWeb"/>
              <w:spacing w:before="0" w:beforeAutospacing="0" w:after="120" w:afterAutospacing="0"/>
              <w:contextualSpacing/>
              <w:rPr>
                <w:rFonts w:ascii="Arial" w:hAnsi="Arial" w:cs="Arial"/>
                <w:sz w:val="22"/>
                <w:szCs w:val="22"/>
              </w:rPr>
            </w:pPr>
            <w:r w:rsidRPr="00BC1D78">
              <w:rPr>
                <w:rFonts w:ascii="Arial" w:hAnsi="Arial" w:cs="Arial"/>
                <w:sz w:val="22"/>
                <w:szCs w:val="22"/>
              </w:rPr>
              <w:t>The Regulatory Authority allege</w:t>
            </w:r>
            <w:r w:rsidR="00225DBA">
              <w:rPr>
                <w:rFonts w:ascii="Arial" w:hAnsi="Arial" w:cs="Arial"/>
                <w:sz w:val="22"/>
                <w:szCs w:val="22"/>
              </w:rPr>
              <w:t>s</w:t>
            </w:r>
            <w:r w:rsidRPr="00BC1D78">
              <w:rPr>
                <w:rFonts w:ascii="Arial" w:hAnsi="Arial" w:cs="Arial"/>
                <w:sz w:val="22"/>
                <w:szCs w:val="22"/>
              </w:rPr>
              <w:t xml:space="preserve"> that </w:t>
            </w:r>
            <w:r w:rsidR="00B67979">
              <w:rPr>
                <w:rFonts w:ascii="Arial" w:hAnsi="Arial" w:cs="Arial"/>
                <w:sz w:val="22"/>
                <w:szCs w:val="22"/>
              </w:rPr>
              <w:t>G8 Education Ltd</w:t>
            </w:r>
            <w:r w:rsidRPr="00BC1D78">
              <w:rPr>
                <w:rFonts w:ascii="Arial" w:hAnsi="Arial" w:cs="Arial"/>
                <w:sz w:val="22"/>
                <w:szCs w:val="22"/>
              </w:rPr>
              <w:t xml:space="preserve"> has failed to comply with section 19(2) of the National Law, which makes it a condition of a provider approval that the approved provider must comply with the Law. </w:t>
            </w:r>
          </w:p>
          <w:p w14:paraId="7BD244A2" w14:textId="77777777" w:rsidR="00B67979" w:rsidRDefault="00B67979" w:rsidP="00BC1D78">
            <w:pPr>
              <w:pStyle w:val="NormalWeb"/>
              <w:spacing w:before="0" w:beforeAutospacing="0" w:after="120" w:afterAutospacing="0"/>
              <w:contextualSpacing/>
              <w:rPr>
                <w:rFonts w:ascii="Arial" w:hAnsi="Arial" w:cs="Arial"/>
                <w:sz w:val="22"/>
                <w:szCs w:val="22"/>
              </w:rPr>
            </w:pPr>
          </w:p>
          <w:p w14:paraId="5EFE2F3F" w14:textId="5B58CD6A" w:rsidR="00B67979" w:rsidRDefault="00BC1D78" w:rsidP="00BC1D78">
            <w:pPr>
              <w:pStyle w:val="NormalWeb"/>
              <w:spacing w:before="0" w:beforeAutospacing="0" w:after="120" w:afterAutospacing="0"/>
              <w:contextualSpacing/>
              <w:rPr>
                <w:rFonts w:ascii="Arial" w:hAnsi="Arial" w:cs="Arial"/>
                <w:sz w:val="22"/>
                <w:szCs w:val="22"/>
              </w:rPr>
            </w:pPr>
            <w:r w:rsidRPr="00BC1D78">
              <w:rPr>
                <w:rFonts w:ascii="Arial" w:hAnsi="Arial" w:cs="Arial"/>
                <w:sz w:val="22"/>
                <w:szCs w:val="22"/>
              </w:rPr>
              <w:t xml:space="preserve">The Regulatory Authority alleges that this non-compliance relates to breaches of the legislation across </w:t>
            </w:r>
            <w:r w:rsidR="00B67979">
              <w:rPr>
                <w:rFonts w:ascii="Arial" w:hAnsi="Arial" w:cs="Arial"/>
                <w:sz w:val="22"/>
                <w:szCs w:val="22"/>
              </w:rPr>
              <w:t>31 centre-based day care</w:t>
            </w:r>
            <w:r w:rsidRPr="00BC1D78">
              <w:rPr>
                <w:rFonts w:ascii="Arial" w:hAnsi="Arial" w:cs="Arial"/>
                <w:sz w:val="22"/>
                <w:szCs w:val="22"/>
              </w:rPr>
              <w:t xml:space="preserve"> services in Queensland </w:t>
            </w:r>
            <w:r w:rsidR="008E686E">
              <w:rPr>
                <w:rFonts w:ascii="Arial" w:hAnsi="Arial" w:cs="Arial"/>
                <w:sz w:val="22"/>
                <w:szCs w:val="22"/>
              </w:rPr>
              <w:t>during</w:t>
            </w:r>
            <w:r w:rsidRPr="00BC1D78">
              <w:rPr>
                <w:rFonts w:ascii="Arial" w:hAnsi="Arial" w:cs="Arial"/>
                <w:sz w:val="22"/>
                <w:szCs w:val="22"/>
              </w:rPr>
              <w:t xml:space="preserve"> the </w:t>
            </w:r>
            <w:r w:rsidR="00016DB7">
              <w:rPr>
                <w:rFonts w:ascii="Arial" w:hAnsi="Arial" w:cs="Arial"/>
                <w:sz w:val="22"/>
                <w:szCs w:val="22"/>
              </w:rPr>
              <w:t>24-month</w:t>
            </w:r>
            <w:r w:rsidR="008E686E">
              <w:rPr>
                <w:rFonts w:ascii="Arial" w:hAnsi="Arial" w:cs="Arial"/>
                <w:sz w:val="22"/>
                <w:szCs w:val="22"/>
              </w:rPr>
              <w:t xml:space="preserve"> period to 19 July 2024.</w:t>
            </w:r>
          </w:p>
          <w:p w14:paraId="10277E62" w14:textId="77777777" w:rsidR="00B67979" w:rsidRDefault="00B67979" w:rsidP="00BC1D78">
            <w:pPr>
              <w:pStyle w:val="NormalWeb"/>
              <w:spacing w:before="0" w:beforeAutospacing="0" w:after="120" w:afterAutospacing="0"/>
              <w:contextualSpacing/>
              <w:rPr>
                <w:rFonts w:ascii="Arial" w:hAnsi="Arial" w:cs="Arial"/>
                <w:sz w:val="22"/>
                <w:szCs w:val="22"/>
              </w:rPr>
            </w:pPr>
          </w:p>
          <w:p w14:paraId="39914F0F" w14:textId="6788632C" w:rsidR="00524EEA" w:rsidRPr="00567C91" w:rsidRDefault="00BC1D78" w:rsidP="00BC1D78">
            <w:pPr>
              <w:pStyle w:val="NormalWeb"/>
              <w:spacing w:before="0" w:beforeAutospacing="0" w:after="120" w:afterAutospacing="0"/>
              <w:contextualSpacing/>
              <w:rPr>
                <w:rFonts w:ascii="Arial" w:hAnsi="Arial"/>
                <w:sz w:val="22"/>
                <w:szCs w:val="22"/>
              </w:rPr>
            </w:pPr>
            <w:r w:rsidRPr="00BC1D78">
              <w:rPr>
                <w:rFonts w:ascii="Arial" w:hAnsi="Arial" w:cs="Arial"/>
                <w:sz w:val="22"/>
                <w:szCs w:val="22"/>
              </w:rPr>
              <w:t xml:space="preserve">It is an offence, pursuant to section 19(4) of the National Law, for an approved provider to fail to comply with the conditions of the provider approval. Further information about these provisions of the National Law can be found </w:t>
            </w:r>
            <w:hyperlink r:id="rId9" w:history="1">
              <w:r w:rsidRPr="00B67979">
                <w:rPr>
                  <w:rStyle w:val="Hyperlink"/>
                  <w:rFonts w:ascii="Arial" w:hAnsi="Arial" w:cs="Arial"/>
                  <w:sz w:val="22"/>
                  <w:szCs w:val="22"/>
                </w:rPr>
                <w:t>here</w:t>
              </w:r>
            </w:hyperlink>
            <w:r w:rsidRPr="00BC1D78">
              <w:rPr>
                <w:rFonts w:ascii="Arial" w:hAnsi="Arial" w:cs="Arial"/>
                <w:sz w:val="22"/>
                <w:szCs w:val="22"/>
              </w:rPr>
              <w:t>.</w:t>
            </w:r>
          </w:p>
        </w:tc>
      </w:tr>
      <w:tr w:rsidR="0006341E" w:rsidRPr="00A11B66" w14:paraId="3A98B804" w14:textId="77777777" w:rsidTr="00225DBA">
        <w:trPr>
          <w:trHeight w:val="994"/>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hideMark/>
          </w:tcPr>
          <w:p w14:paraId="17C28F6C" w14:textId="36A10E27" w:rsidR="0006341E" w:rsidRPr="002E6F67" w:rsidRDefault="0006341E" w:rsidP="0006341E">
            <w:pPr>
              <w:pStyle w:val="NormalWeb"/>
              <w:numPr>
                <w:ilvl w:val="0"/>
                <w:numId w:val="1"/>
              </w:numPr>
              <w:spacing w:before="0" w:beforeAutospacing="0" w:after="0" w:afterAutospacing="0"/>
              <w:ind w:right="108"/>
              <w:rPr>
                <w:rFonts w:ascii="Arial" w:hAnsi="Arial" w:cs="Arial"/>
                <w:sz w:val="21"/>
                <w:szCs w:val="21"/>
              </w:rPr>
            </w:pPr>
            <w:r w:rsidRPr="002E6F67">
              <w:rPr>
                <w:rFonts w:ascii="Arial" w:hAnsi="Arial" w:cs="Arial"/>
                <w:sz w:val="21"/>
                <w:szCs w:val="21"/>
              </w:rPr>
              <w:t xml:space="preserve">Date </w:t>
            </w:r>
            <w:r w:rsidR="009D4258" w:rsidRPr="002E6F67">
              <w:rPr>
                <w:rFonts w:ascii="Arial" w:hAnsi="Arial" w:cs="Arial"/>
                <w:sz w:val="21"/>
                <w:szCs w:val="21"/>
              </w:rPr>
              <w:t xml:space="preserve">of </w:t>
            </w:r>
            <w:r w:rsidR="00F25547" w:rsidRPr="002E6F67">
              <w:rPr>
                <w:rFonts w:ascii="Arial" w:hAnsi="Arial" w:cs="Arial"/>
                <w:sz w:val="21"/>
                <w:szCs w:val="21"/>
              </w:rPr>
              <w:t>agreed undertaking</w:t>
            </w:r>
          </w:p>
        </w:tc>
        <w:tc>
          <w:tcPr>
            <w:tcW w:w="3582" w:type="pct"/>
            <w:tcBorders>
              <w:top w:val="inset" w:sz="6" w:space="0" w:color="auto"/>
              <w:left w:val="inset" w:sz="6" w:space="0" w:color="auto"/>
              <w:bottom w:val="inset" w:sz="6" w:space="0" w:color="auto"/>
              <w:right w:val="inset" w:sz="6" w:space="0" w:color="auto"/>
            </w:tcBorders>
            <w:shd w:val="clear" w:color="auto" w:fill="FFFFFF"/>
            <w:hideMark/>
          </w:tcPr>
          <w:p w14:paraId="09ACD87E" w14:textId="77777777" w:rsidR="0006341E" w:rsidRDefault="00525136" w:rsidP="00217F3A">
            <w:pPr>
              <w:pStyle w:val="NormalWeb"/>
              <w:spacing w:before="0" w:beforeAutospacing="0" w:after="0" w:afterAutospacing="0"/>
              <w:ind w:right="108"/>
              <w:rPr>
                <w:rFonts w:ascii="Arial" w:hAnsi="Arial" w:cs="Arial"/>
                <w:bCs/>
                <w:sz w:val="22"/>
                <w:szCs w:val="22"/>
              </w:rPr>
            </w:pPr>
            <w:r w:rsidRPr="00BC1D78">
              <w:rPr>
                <w:rFonts w:ascii="Arial" w:hAnsi="Arial" w:cs="Arial"/>
                <w:bCs/>
                <w:sz w:val="22"/>
                <w:szCs w:val="22"/>
              </w:rPr>
              <w:t>9 September 2024</w:t>
            </w:r>
          </w:p>
          <w:p w14:paraId="1E04D629" w14:textId="626B4147" w:rsidR="00BC1D78" w:rsidRPr="00BC1D78" w:rsidRDefault="00BC1D78" w:rsidP="00217F3A">
            <w:pPr>
              <w:pStyle w:val="NormalWeb"/>
              <w:spacing w:before="0" w:beforeAutospacing="0" w:after="0" w:afterAutospacing="0"/>
              <w:ind w:right="108"/>
              <w:rPr>
                <w:rFonts w:ascii="Arial" w:hAnsi="Arial" w:cs="Arial"/>
                <w:bCs/>
                <w:sz w:val="22"/>
                <w:szCs w:val="22"/>
                <w:highlight w:val="yellow"/>
              </w:rPr>
            </w:pPr>
            <w:r w:rsidRPr="00BC1D78">
              <w:rPr>
                <w:rFonts w:ascii="Arial" w:hAnsi="Arial" w:cs="Arial"/>
                <w:bCs/>
                <w:sz w:val="22"/>
                <w:szCs w:val="22"/>
              </w:rPr>
              <w:t>For a term of 12 months</w:t>
            </w:r>
          </w:p>
        </w:tc>
      </w:tr>
      <w:tr w:rsidR="00F25547" w:rsidRPr="00A11B66" w14:paraId="2A403A7C" w14:textId="77777777" w:rsidTr="00225DBA">
        <w:trPr>
          <w:trHeight w:val="994"/>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tcPr>
          <w:p w14:paraId="5D82B352" w14:textId="1410DE3A" w:rsidR="00F25547" w:rsidRPr="002E6F67" w:rsidRDefault="00F25547" w:rsidP="0006341E">
            <w:pPr>
              <w:pStyle w:val="NormalWeb"/>
              <w:numPr>
                <w:ilvl w:val="0"/>
                <w:numId w:val="1"/>
              </w:numPr>
              <w:spacing w:before="0" w:beforeAutospacing="0" w:after="0" w:afterAutospacing="0"/>
              <w:ind w:right="108"/>
              <w:rPr>
                <w:rFonts w:ascii="Arial" w:hAnsi="Arial" w:cs="Arial"/>
                <w:sz w:val="21"/>
                <w:szCs w:val="21"/>
              </w:rPr>
            </w:pPr>
            <w:r w:rsidRPr="002E6F67">
              <w:rPr>
                <w:rFonts w:ascii="Arial" w:hAnsi="Arial" w:cs="Arial"/>
                <w:sz w:val="21"/>
                <w:szCs w:val="21"/>
              </w:rPr>
              <w:t>Details of Enforceable Undertaking</w:t>
            </w:r>
          </w:p>
        </w:tc>
        <w:tc>
          <w:tcPr>
            <w:tcW w:w="3582" w:type="pct"/>
            <w:tcBorders>
              <w:top w:val="inset" w:sz="6" w:space="0" w:color="auto"/>
              <w:left w:val="inset" w:sz="6" w:space="0" w:color="auto"/>
              <w:bottom w:val="inset" w:sz="6" w:space="0" w:color="auto"/>
              <w:right w:val="inset" w:sz="6" w:space="0" w:color="auto"/>
            </w:tcBorders>
            <w:shd w:val="clear" w:color="auto" w:fill="FFFFFF"/>
          </w:tcPr>
          <w:p w14:paraId="65AB6010" w14:textId="77777777" w:rsidR="00F25547" w:rsidRPr="003F55D6" w:rsidRDefault="00B67979" w:rsidP="00217F3A">
            <w:pPr>
              <w:pStyle w:val="NormalWeb"/>
              <w:spacing w:before="0" w:beforeAutospacing="0" w:after="0" w:afterAutospacing="0"/>
              <w:ind w:right="108"/>
              <w:rPr>
                <w:rFonts w:ascii="Arial" w:hAnsi="Arial" w:cs="Arial"/>
                <w:bCs/>
                <w:sz w:val="22"/>
                <w:szCs w:val="22"/>
              </w:rPr>
            </w:pPr>
            <w:r w:rsidRPr="003F55D6">
              <w:rPr>
                <w:rFonts w:ascii="Arial" w:hAnsi="Arial" w:cs="Arial"/>
                <w:bCs/>
                <w:sz w:val="22"/>
                <w:szCs w:val="22"/>
              </w:rPr>
              <w:t>The Approved Provider undertakes to:</w:t>
            </w:r>
          </w:p>
          <w:p w14:paraId="708C0995" w14:textId="77777777" w:rsidR="00BE2E52" w:rsidRPr="003F55D6" w:rsidRDefault="00BE2E52" w:rsidP="00BE2E52">
            <w:pPr>
              <w:pStyle w:val="NormalWeb"/>
              <w:spacing w:before="0" w:beforeAutospacing="0" w:after="0" w:afterAutospacing="0"/>
              <w:ind w:left="720" w:right="108"/>
              <w:rPr>
                <w:rFonts w:ascii="Arial" w:hAnsi="Arial" w:cs="Arial"/>
                <w:bCs/>
                <w:sz w:val="22"/>
                <w:szCs w:val="22"/>
              </w:rPr>
            </w:pPr>
          </w:p>
          <w:p w14:paraId="55869EE7" w14:textId="701EE45C" w:rsidR="009D7C66" w:rsidRPr="003F55D6" w:rsidRDefault="009D7C66" w:rsidP="003F55D6">
            <w:pPr>
              <w:pStyle w:val="NormalWeb"/>
              <w:numPr>
                <w:ilvl w:val="3"/>
                <w:numId w:val="1"/>
              </w:numPr>
              <w:tabs>
                <w:tab w:val="clear" w:pos="2520"/>
                <w:tab w:val="num" w:pos="464"/>
              </w:tabs>
              <w:spacing w:before="0" w:beforeAutospacing="0" w:after="0" w:afterAutospacing="0"/>
              <w:ind w:left="464" w:right="108" w:hanging="425"/>
              <w:rPr>
                <w:rFonts w:ascii="Arial" w:hAnsi="Arial" w:cs="Arial"/>
                <w:bCs/>
                <w:sz w:val="22"/>
                <w:szCs w:val="22"/>
              </w:rPr>
            </w:pPr>
            <w:r w:rsidRPr="003F55D6">
              <w:rPr>
                <w:rFonts w:ascii="Arial" w:hAnsi="Arial" w:cs="Arial"/>
                <w:bCs/>
                <w:sz w:val="22"/>
                <w:szCs w:val="22"/>
              </w:rPr>
              <w:t>Within one month of the commencement of the Undertaking, finalise and provide to the Regulatory Authority an Action Plan detailing:</w:t>
            </w:r>
          </w:p>
          <w:p w14:paraId="06A57A6D" w14:textId="4ECD0C93" w:rsidR="009D7C66" w:rsidRPr="003F55D6" w:rsidRDefault="009D7C66" w:rsidP="00BE2E52">
            <w:pPr>
              <w:pStyle w:val="NormalWeb"/>
              <w:spacing w:before="0" w:beforeAutospacing="0" w:after="0" w:afterAutospacing="0"/>
              <w:ind w:right="108"/>
              <w:rPr>
                <w:rFonts w:ascii="Arial" w:hAnsi="Arial" w:cs="Arial"/>
                <w:bCs/>
                <w:sz w:val="22"/>
                <w:szCs w:val="22"/>
              </w:rPr>
            </w:pPr>
          </w:p>
          <w:p w14:paraId="6083E268" w14:textId="77777777" w:rsidR="00F1756A" w:rsidRPr="003F55D6" w:rsidRDefault="00F1756A" w:rsidP="003F55D6">
            <w:pPr>
              <w:pStyle w:val="NormalWeb"/>
              <w:numPr>
                <w:ilvl w:val="0"/>
                <w:numId w:val="16"/>
              </w:numPr>
              <w:spacing w:before="0" w:beforeAutospacing="0" w:after="0" w:afterAutospacing="0"/>
              <w:ind w:left="889" w:right="108" w:hanging="283"/>
              <w:rPr>
                <w:rFonts w:ascii="Arial" w:hAnsi="Arial" w:cs="Arial"/>
                <w:bCs/>
                <w:sz w:val="22"/>
                <w:szCs w:val="22"/>
              </w:rPr>
            </w:pPr>
            <w:r w:rsidRPr="003F55D6">
              <w:rPr>
                <w:rFonts w:ascii="Arial" w:hAnsi="Arial" w:cs="Arial"/>
                <w:bCs/>
                <w:sz w:val="22"/>
                <w:szCs w:val="22"/>
              </w:rPr>
              <w:t xml:space="preserve">improvements </w:t>
            </w:r>
            <w:r w:rsidR="009D7C66" w:rsidRPr="003F55D6">
              <w:rPr>
                <w:rFonts w:ascii="Arial" w:hAnsi="Arial" w:cs="Arial"/>
                <w:bCs/>
                <w:sz w:val="22"/>
                <w:szCs w:val="22"/>
              </w:rPr>
              <w:t>that have already been implemented</w:t>
            </w:r>
            <w:r w:rsidRPr="003F55D6">
              <w:rPr>
                <w:rFonts w:ascii="Arial" w:hAnsi="Arial" w:cs="Arial"/>
                <w:bCs/>
                <w:sz w:val="22"/>
                <w:szCs w:val="22"/>
              </w:rPr>
              <w:t>;</w:t>
            </w:r>
          </w:p>
          <w:p w14:paraId="5125E555" w14:textId="4A19F2C9" w:rsidR="009D7C66" w:rsidRPr="003F55D6" w:rsidRDefault="009D7C66" w:rsidP="003F55D6">
            <w:pPr>
              <w:pStyle w:val="NormalWeb"/>
              <w:spacing w:before="0" w:beforeAutospacing="0" w:after="0" w:afterAutospacing="0"/>
              <w:ind w:left="889" w:right="108" w:hanging="283"/>
              <w:rPr>
                <w:rFonts w:ascii="Arial" w:hAnsi="Arial" w:cs="Arial"/>
                <w:bCs/>
                <w:sz w:val="22"/>
                <w:szCs w:val="22"/>
              </w:rPr>
            </w:pPr>
            <w:r w:rsidRPr="003F55D6">
              <w:rPr>
                <w:rFonts w:ascii="Arial" w:hAnsi="Arial" w:cs="Arial"/>
                <w:bCs/>
                <w:sz w:val="22"/>
                <w:szCs w:val="22"/>
              </w:rPr>
              <w:t xml:space="preserve"> </w:t>
            </w:r>
          </w:p>
          <w:p w14:paraId="4BA0AE7B" w14:textId="67662274" w:rsidR="009D7C66" w:rsidRPr="003F55D6" w:rsidRDefault="00F1756A" w:rsidP="003F55D6">
            <w:pPr>
              <w:pStyle w:val="NormalWeb"/>
              <w:numPr>
                <w:ilvl w:val="0"/>
                <w:numId w:val="16"/>
              </w:numPr>
              <w:spacing w:before="0" w:beforeAutospacing="0" w:after="0" w:afterAutospacing="0"/>
              <w:ind w:left="889" w:right="108" w:hanging="283"/>
              <w:rPr>
                <w:rFonts w:ascii="Arial" w:hAnsi="Arial" w:cs="Arial"/>
                <w:bCs/>
                <w:sz w:val="22"/>
                <w:szCs w:val="22"/>
              </w:rPr>
            </w:pPr>
            <w:r w:rsidRPr="003F55D6">
              <w:rPr>
                <w:rFonts w:ascii="Arial" w:hAnsi="Arial" w:cs="Arial"/>
                <w:bCs/>
                <w:sz w:val="22"/>
                <w:szCs w:val="22"/>
              </w:rPr>
              <w:t>improvements that are yet to commence and time frames for their commencement and completion; and</w:t>
            </w:r>
          </w:p>
          <w:p w14:paraId="5444AA5C" w14:textId="77777777" w:rsidR="00F1756A" w:rsidRPr="003F55D6" w:rsidRDefault="00F1756A" w:rsidP="003F55D6">
            <w:pPr>
              <w:pStyle w:val="NormalWeb"/>
              <w:spacing w:before="0" w:beforeAutospacing="0" w:after="0" w:afterAutospacing="0"/>
              <w:ind w:left="889" w:right="108" w:hanging="283"/>
              <w:rPr>
                <w:rFonts w:ascii="Arial" w:hAnsi="Arial" w:cs="Arial"/>
                <w:bCs/>
                <w:sz w:val="22"/>
                <w:szCs w:val="22"/>
              </w:rPr>
            </w:pPr>
          </w:p>
          <w:p w14:paraId="6E8A63D0" w14:textId="26B63CE1" w:rsidR="009D7C66" w:rsidRPr="003F55D6" w:rsidRDefault="00F1756A" w:rsidP="003F55D6">
            <w:pPr>
              <w:pStyle w:val="NormalWeb"/>
              <w:numPr>
                <w:ilvl w:val="0"/>
                <w:numId w:val="16"/>
              </w:numPr>
              <w:spacing w:before="0" w:beforeAutospacing="0" w:after="0" w:afterAutospacing="0"/>
              <w:ind w:left="889" w:right="108" w:hanging="283"/>
              <w:rPr>
                <w:rFonts w:ascii="Arial" w:hAnsi="Arial" w:cs="Arial"/>
                <w:bCs/>
                <w:sz w:val="22"/>
                <w:szCs w:val="22"/>
              </w:rPr>
            </w:pPr>
            <w:proofErr w:type="spellStart"/>
            <w:r w:rsidRPr="003F55D6">
              <w:rPr>
                <w:rFonts w:ascii="Arial" w:hAnsi="Arial" w:cs="Arial"/>
                <w:bCs/>
                <w:sz w:val="22"/>
                <w:szCs w:val="22"/>
              </w:rPr>
              <w:t>intiatives</w:t>
            </w:r>
            <w:proofErr w:type="spellEnd"/>
            <w:r w:rsidRPr="003F55D6">
              <w:rPr>
                <w:rFonts w:ascii="Arial" w:hAnsi="Arial" w:cs="Arial"/>
                <w:bCs/>
                <w:sz w:val="22"/>
                <w:szCs w:val="22"/>
              </w:rPr>
              <w:t>, programs and resources</w:t>
            </w:r>
            <w:r w:rsidR="00225DBA">
              <w:rPr>
                <w:rFonts w:ascii="Arial" w:hAnsi="Arial" w:cs="Arial"/>
                <w:bCs/>
                <w:sz w:val="22"/>
                <w:szCs w:val="22"/>
              </w:rPr>
              <w:t xml:space="preserve"> designed to address the non-compliance</w:t>
            </w:r>
            <w:r w:rsidRPr="003F55D6">
              <w:rPr>
                <w:rFonts w:ascii="Arial" w:hAnsi="Arial" w:cs="Arial"/>
                <w:bCs/>
                <w:sz w:val="22"/>
                <w:szCs w:val="22"/>
              </w:rPr>
              <w:t>.</w:t>
            </w:r>
          </w:p>
          <w:p w14:paraId="1FD40A3E" w14:textId="77777777" w:rsidR="003F55D6" w:rsidRDefault="003F55D6" w:rsidP="003F55D6">
            <w:pPr>
              <w:pStyle w:val="NormalWeb"/>
              <w:spacing w:before="0" w:beforeAutospacing="0" w:after="0" w:afterAutospacing="0"/>
              <w:ind w:left="464" w:right="108"/>
              <w:rPr>
                <w:rFonts w:ascii="Arial" w:hAnsi="Arial" w:cs="Arial"/>
                <w:bCs/>
                <w:sz w:val="22"/>
                <w:szCs w:val="22"/>
              </w:rPr>
            </w:pPr>
          </w:p>
          <w:p w14:paraId="7A264C0B" w14:textId="6A57762F" w:rsidR="00A555DC" w:rsidRPr="009C339E" w:rsidRDefault="003F55D6" w:rsidP="003F55D6">
            <w:pPr>
              <w:pStyle w:val="NormalWeb"/>
              <w:numPr>
                <w:ilvl w:val="3"/>
                <w:numId w:val="1"/>
              </w:numPr>
              <w:tabs>
                <w:tab w:val="clear" w:pos="2520"/>
                <w:tab w:val="num" w:pos="464"/>
              </w:tabs>
              <w:spacing w:before="0" w:beforeAutospacing="0" w:after="0" w:afterAutospacing="0"/>
              <w:ind w:left="464" w:right="108" w:hanging="425"/>
              <w:rPr>
                <w:rFonts w:ascii="Arial" w:hAnsi="Arial" w:cs="Arial"/>
                <w:bCs/>
                <w:sz w:val="22"/>
                <w:szCs w:val="22"/>
              </w:rPr>
            </w:pPr>
            <w:r w:rsidRPr="003F55D6">
              <w:rPr>
                <w:rFonts w:ascii="Arial" w:hAnsi="Arial" w:cs="Arial"/>
                <w:bCs/>
                <w:sz w:val="22"/>
                <w:szCs w:val="22"/>
              </w:rPr>
              <w:t>Submit a summary of outcomes, trends and corrective actions from audit reports, quarterly.</w:t>
            </w:r>
          </w:p>
        </w:tc>
      </w:tr>
      <w:tr w:rsidR="003F55D6" w:rsidRPr="00A11B66" w14:paraId="211BA711" w14:textId="77777777" w:rsidTr="00225DBA">
        <w:trPr>
          <w:trHeight w:val="994"/>
          <w:tblCellSpacing w:w="20" w:type="dxa"/>
        </w:trPr>
        <w:tc>
          <w:tcPr>
            <w:tcW w:w="1352" w:type="pct"/>
            <w:tcBorders>
              <w:top w:val="inset" w:sz="6" w:space="0" w:color="auto"/>
              <w:left w:val="inset" w:sz="6" w:space="0" w:color="auto"/>
              <w:bottom w:val="inset" w:sz="6" w:space="0" w:color="auto"/>
              <w:right w:val="inset" w:sz="6" w:space="0" w:color="auto"/>
            </w:tcBorders>
            <w:shd w:val="clear" w:color="auto" w:fill="E6E6E6"/>
          </w:tcPr>
          <w:p w14:paraId="2E1ECC8C" w14:textId="493BEFF8" w:rsidR="003F55D6" w:rsidRPr="002E6F67" w:rsidRDefault="0048262A" w:rsidP="0006341E">
            <w:pPr>
              <w:pStyle w:val="NormalWeb"/>
              <w:numPr>
                <w:ilvl w:val="0"/>
                <w:numId w:val="1"/>
              </w:numPr>
              <w:spacing w:before="0" w:beforeAutospacing="0" w:after="0" w:afterAutospacing="0"/>
              <w:ind w:right="108"/>
              <w:rPr>
                <w:rFonts w:ascii="Arial" w:hAnsi="Arial" w:cs="Arial"/>
                <w:sz w:val="21"/>
                <w:szCs w:val="21"/>
              </w:rPr>
            </w:pPr>
            <w:r w:rsidRPr="002E6F67">
              <w:rPr>
                <w:rFonts w:ascii="Arial" w:hAnsi="Arial" w:cs="Arial"/>
                <w:sz w:val="21"/>
                <w:szCs w:val="21"/>
              </w:rPr>
              <w:lastRenderedPageBreak/>
              <w:t>Steps taken</w:t>
            </w:r>
          </w:p>
        </w:tc>
        <w:tc>
          <w:tcPr>
            <w:tcW w:w="3582" w:type="pct"/>
            <w:tcBorders>
              <w:top w:val="inset" w:sz="6" w:space="0" w:color="auto"/>
              <w:left w:val="inset" w:sz="6" w:space="0" w:color="auto"/>
              <w:bottom w:val="inset" w:sz="6" w:space="0" w:color="auto"/>
              <w:right w:val="inset" w:sz="6" w:space="0" w:color="auto"/>
            </w:tcBorders>
            <w:shd w:val="clear" w:color="auto" w:fill="FFFFFF"/>
          </w:tcPr>
          <w:p w14:paraId="3AC41E5B" w14:textId="511DA12D" w:rsidR="001F3C97" w:rsidRPr="00350DFF" w:rsidRDefault="001F3C97" w:rsidP="001F3C97">
            <w:pPr>
              <w:pStyle w:val="ListParagraph"/>
              <w:autoSpaceDE w:val="0"/>
              <w:autoSpaceDN w:val="0"/>
              <w:adjustRightInd w:val="0"/>
              <w:spacing w:after="0" w:line="240" w:lineRule="auto"/>
              <w:ind w:left="12" w:hanging="12"/>
              <w:rPr>
                <w:rFonts w:ascii="Arial" w:hAnsi="Arial" w:cs="Arial"/>
              </w:rPr>
            </w:pPr>
            <w:r w:rsidRPr="00350DFF">
              <w:rPr>
                <w:rFonts w:ascii="Arial" w:hAnsi="Arial" w:cs="Arial"/>
              </w:rPr>
              <w:t xml:space="preserve">To support the approved provider’s ongoing compliance with the National Law and Regulations, the regulatory authority has accepted a written undertaking </w:t>
            </w:r>
            <w:r>
              <w:rPr>
                <w:rFonts w:ascii="Arial" w:hAnsi="Arial" w:cs="Arial"/>
              </w:rPr>
              <w:t xml:space="preserve">voluntarily provided by </w:t>
            </w:r>
            <w:r w:rsidRPr="00350DFF">
              <w:rPr>
                <w:rFonts w:ascii="Arial" w:hAnsi="Arial" w:cs="Arial"/>
              </w:rPr>
              <w:t xml:space="preserve">the approved provider in line with the terms above and will monitor compliance with this undertaking over its </w:t>
            </w:r>
            <w:r w:rsidR="00225DBA">
              <w:rPr>
                <w:rFonts w:ascii="Arial" w:hAnsi="Arial" w:cs="Arial"/>
              </w:rPr>
              <w:t>12</w:t>
            </w:r>
            <w:r w:rsidRPr="00350DFF">
              <w:rPr>
                <w:rFonts w:ascii="Arial" w:hAnsi="Arial" w:cs="Arial"/>
              </w:rPr>
              <w:t xml:space="preserve"> months duration. </w:t>
            </w:r>
          </w:p>
          <w:p w14:paraId="10CD5BC9" w14:textId="77777777" w:rsidR="001F3C97" w:rsidRPr="00350DFF" w:rsidRDefault="001F3C97" w:rsidP="001F3C97">
            <w:pPr>
              <w:pStyle w:val="ListParagraph"/>
              <w:autoSpaceDE w:val="0"/>
              <w:autoSpaceDN w:val="0"/>
              <w:adjustRightInd w:val="0"/>
              <w:spacing w:after="0" w:line="240" w:lineRule="auto"/>
              <w:ind w:left="12" w:hanging="12"/>
              <w:rPr>
                <w:rFonts w:ascii="Arial" w:hAnsi="Arial" w:cs="Arial"/>
              </w:rPr>
            </w:pPr>
          </w:p>
          <w:p w14:paraId="3146DAFA" w14:textId="77777777" w:rsidR="001F3C97" w:rsidRDefault="001F3C97" w:rsidP="001F3C97">
            <w:pPr>
              <w:pStyle w:val="ListParagraph"/>
              <w:autoSpaceDE w:val="0"/>
              <w:autoSpaceDN w:val="0"/>
              <w:adjustRightInd w:val="0"/>
              <w:spacing w:after="0" w:line="240" w:lineRule="auto"/>
              <w:ind w:left="12" w:hanging="12"/>
              <w:rPr>
                <w:rFonts w:ascii="Arial" w:hAnsi="Arial" w:cs="Arial"/>
              </w:rPr>
            </w:pPr>
            <w:r w:rsidRPr="00350DFF">
              <w:rPr>
                <w:rFonts w:ascii="Arial" w:hAnsi="Arial" w:cs="Arial"/>
              </w:rPr>
              <w:t xml:space="preserve">Failure to comply with the undertaking may result in the regulatory authority pursuing further enforcement action, including prosecution. </w:t>
            </w:r>
          </w:p>
          <w:p w14:paraId="6E99E60E" w14:textId="00D9B367" w:rsidR="003F55D6" w:rsidRPr="00B67979" w:rsidRDefault="003F55D6" w:rsidP="00217F3A">
            <w:pPr>
              <w:pStyle w:val="NormalWeb"/>
              <w:spacing w:before="0" w:beforeAutospacing="0" w:after="0" w:afterAutospacing="0"/>
              <w:ind w:right="108"/>
              <w:rPr>
                <w:rFonts w:ascii="Arial" w:hAnsi="Arial" w:cs="Arial"/>
                <w:bCs/>
                <w:sz w:val="22"/>
                <w:szCs w:val="22"/>
              </w:rPr>
            </w:pPr>
          </w:p>
        </w:tc>
      </w:tr>
    </w:tbl>
    <w:p w14:paraId="5EE10802" w14:textId="77777777"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52DF7"/>
    <w:multiLevelType w:val="multilevel"/>
    <w:tmpl w:val="6DA86426"/>
    <w:lvl w:ilvl="0">
      <w:start w:val="1"/>
      <w:numFmt w:val="decimal"/>
      <w:pStyle w:val="Heading1"/>
      <w:lvlText w:val="%1"/>
      <w:lvlJc w:val="left"/>
      <w:pPr>
        <w:tabs>
          <w:tab w:val="num" w:pos="709"/>
        </w:tabs>
        <w:ind w:left="709"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559"/>
        </w:tabs>
        <w:ind w:left="1559" w:hanging="708"/>
      </w:pPr>
      <w:rPr>
        <w:rFonts w:ascii="Arial" w:hAnsi="Arial" w:cs="Arial" w:hint="default"/>
        <w:b w:val="0"/>
        <w:i w:val="0"/>
        <w:caps w:val="0"/>
        <w:strike w:val="0"/>
        <w:dstrike w:val="0"/>
        <w:vanish w:val="0"/>
        <w:webHidden w:val="0"/>
        <w:color w:val="auto"/>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FD5B44"/>
    <w:multiLevelType w:val="hybridMultilevel"/>
    <w:tmpl w:val="CAEC3ED2"/>
    <w:lvl w:ilvl="0" w:tplc="499087B0">
      <w:start w:val="1"/>
      <w:numFmt w:val="upp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4" w15:restartNumberingAfterBreak="0">
    <w:nsid w:val="21491A83"/>
    <w:multiLevelType w:val="hybridMultilevel"/>
    <w:tmpl w:val="D3503B7E"/>
    <w:lvl w:ilvl="0" w:tplc="A5B0D5D4">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5"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41132813"/>
    <w:multiLevelType w:val="hybridMultilevel"/>
    <w:tmpl w:val="F2009228"/>
    <w:lvl w:ilvl="0" w:tplc="411AE0D6">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8" w15:restartNumberingAfterBreak="0">
    <w:nsid w:val="44F36AFB"/>
    <w:multiLevelType w:val="hybridMultilevel"/>
    <w:tmpl w:val="DA627240"/>
    <w:lvl w:ilvl="0" w:tplc="5372D3F4">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9" w15:restartNumberingAfterBreak="0">
    <w:nsid w:val="471400A8"/>
    <w:multiLevelType w:val="hybridMultilevel"/>
    <w:tmpl w:val="1C8C8D82"/>
    <w:lvl w:ilvl="0" w:tplc="1A56AAAC">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0"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4D5B588B"/>
    <w:multiLevelType w:val="hybridMultilevel"/>
    <w:tmpl w:val="35C06368"/>
    <w:lvl w:ilvl="0" w:tplc="9E56BF88">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2"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654148BF"/>
    <w:multiLevelType w:val="hybridMultilevel"/>
    <w:tmpl w:val="1A08F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49386B"/>
    <w:multiLevelType w:val="hybridMultilevel"/>
    <w:tmpl w:val="84401464"/>
    <w:lvl w:ilvl="0" w:tplc="D61EB3F6">
      <w:start w:val="9"/>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2741B7"/>
    <w:multiLevelType w:val="hybridMultilevel"/>
    <w:tmpl w:val="D3E81E60"/>
    <w:lvl w:ilvl="0" w:tplc="0E483140">
      <w:start w:val="1"/>
      <w:numFmt w:val="lowerLetter"/>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6"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12"/>
  </w:num>
  <w:num w:numId="2">
    <w:abstractNumId w:val="0"/>
  </w:num>
  <w:num w:numId="3">
    <w:abstractNumId w:val="16"/>
  </w:num>
  <w:num w:numId="4">
    <w:abstractNumId w:val="1"/>
  </w:num>
  <w:num w:numId="5">
    <w:abstractNumId w:val="10"/>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4"/>
  </w:num>
  <w:num w:numId="18">
    <w:abstractNumId w:val="11"/>
  </w:num>
  <w:num w:numId="19">
    <w:abstractNumId w:val="9"/>
  </w:num>
  <w:num w:numId="20">
    <w:abstractNumId w:val="15"/>
  </w:num>
  <w:num w:numId="21">
    <w:abstractNumId w:val="4"/>
  </w:num>
  <w:num w:numId="22">
    <w:abstractNumId w:val="8"/>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16DB7"/>
    <w:rsid w:val="00047892"/>
    <w:rsid w:val="0006341E"/>
    <w:rsid w:val="00080148"/>
    <w:rsid w:val="000B17C0"/>
    <w:rsid w:val="000C6C8A"/>
    <w:rsid w:val="000E59B9"/>
    <w:rsid w:val="000F62CC"/>
    <w:rsid w:val="00111AE9"/>
    <w:rsid w:val="00116B9C"/>
    <w:rsid w:val="00137F73"/>
    <w:rsid w:val="001505BB"/>
    <w:rsid w:val="001950CF"/>
    <w:rsid w:val="00196C60"/>
    <w:rsid w:val="001D16C9"/>
    <w:rsid w:val="001F3C97"/>
    <w:rsid w:val="00217F3A"/>
    <w:rsid w:val="002202DA"/>
    <w:rsid w:val="002227B0"/>
    <w:rsid w:val="00225DBA"/>
    <w:rsid w:val="0025424E"/>
    <w:rsid w:val="002862BB"/>
    <w:rsid w:val="002947F9"/>
    <w:rsid w:val="002B32AB"/>
    <w:rsid w:val="002D113C"/>
    <w:rsid w:val="002D1B08"/>
    <w:rsid w:val="002E6F67"/>
    <w:rsid w:val="003558FE"/>
    <w:rsid w:val="00374151"/>
    <w:rsid w:val="003819F6"/>
    <w:rsid w:val="003A15FB"/>
    <w:rsid w:val="003B4F91"/>
    <w:rsid w:val="003D4191"/>
    <w:rsid w:val="003F18E2"/>
    <w:rsid w:val="003F55D6"/>
    <w:rsid w:val="0042570D"/>
    <w:rsid w:val="0048262A"/>
    <w:rsid w:val="004A53AF"/>
    <w:rsid w:val="004D4C53"/>
    <w:rsid w:val="00502B4B"/>
    <w:rsid w:val="00514112"/>
    <w:rsid w:val="00524EEA"/>
    <w:rsid w:val="00525136"/>
    <w:rsid w:val="00541143"/>
    <w:rsid w:val="00567C91"/>
    <w:rsid w:val="005873C9"/>
    <w:rsid w:val="005C5133"/>
    <w:rsid w:val="00617DF3"/>
    <w:rsid w:val="00637854"/>
    <w:rsid w:val="00677B18"/>
    <w:rsid w:val="00690F5E"/>
    <w:rsid w:val="006A0D5A"/>
    <w:rsid w:val="006A7988"/>
    <w:rsid w:val="006C451F"/>
    <w:rsid w:val="006D1046"/>
    <w:rsid w:val="00726D94"/>
    <w:rsid w:val="00757EB9"/>
    <w:rsid w:val="00763066"/>
    <w:rsid w:val="007800BF"/>
    <w:rsid w:val="00795AA1"/>
    <w:rsid w:val="007A388E"/>
    <w:rsid w:val="007C146B"/>
    <w:rsid w:val="007E1D0B"/>
    <w:rsid w:val="008A611D"/>
    <w:rsid w:val="008E686E"/>
    <w:rsid w:val="00911073"/>
    <w:rsid w:val="009161C4"/>
    <w:rsid w:val="009B4313"/>
    <w:rsid w:val="009C339E"/>
    <w:rsid w:val="009D4258"/>
    <w:rsid w:val="009D60CE"/>
    <w:rsid w:val="009D7C66"/>
    <w:rsid w:val="00A14D49"/>
    <w:rsid w:val="00A555DC"/>
    <w:rsid w:val="00A75884"/>
    <w:rsid w:val="00AC5448"/>
    <w:rsid w:val="00AD41AD"/>
    <w:rsid w:val="00AD5C87"/>
    <w:rsid w:val="00AF3758"/>
    <w:rsid w:val="00B332ED"/>
    <w:rsid w:val="00B63B30"/>
    <w:rsid w:val="00B66852"/>
    <w:rsid w:val="00B67979"/>
    <w:rsid w:val="00B75013"/>
    <w:rsid w:val="00BB3383"/>
    <w:rsid w:val="00BC1D78"/>
    <w:rsid w:val="00BD0655"/>
    <w:rsid w:val="00BD5545"/>
    <w:rsid w:val="00BE2E52"/>
    <w:rsid w:val="00BE700E"/>
    <w:rsid w:val="00BF5F71"/>
    <w:rsid w:val="00C13EA9"/>
    <w:rsid w:val="00C24F5A"/>
    <w:rsid w:val="00C26946"/>
    <w:rsid w:val="00C31B38"/>
    <w:rsid w:val="00C42454"/>
    <w:rsid w:val="00C644FD"/>
    <w:rsid w:val="00C9125B"/>
    <w:rsid w:val="00CA5D29"/>
    <w:rsid w:val="00CD359E"/>
    <w:rsid w:val="00CF2EE5"/>
    <w:rsid w:val="00D5753F"/>
    <w:rsid w:val="00D70203"/>
    <w:rsid w:val="00D859B3"/>
    <w:rsid w:val="00E206B3"/>
    <w:rsid w:val="00E22147"/>
    <w:rsid w:val="00E235E2"/>
    <w:rsid w:val="00E81C38"/>
    <w:rsid w:val="00E905E5"/>
    <w:rsid w:val="00F17298"/>
    <w:rsid w:val="00F1756A"/>
    <w:rsid w:val="00F25547"/>
    <w:rsid w:val="00FE67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5730"/>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E"/>
  </w:style>
  <w:style w:type="paragraph" w:styleId="Heading1">
    <w:name w:val="heading 1"/>
    <w:basedOn w:val="Normal"/>
    <w:link w:val="Heading1Char"/>
    <w:uiPriority w:val="99"/>
    <w:qFormat/>
    <w:rsid w:val="00C24F5A"/>
    <w:pPr>
      <w:numPr>
        <w:numId w:val="8"/>
      </w:numPr>
      <w:spacing w:before="240" w:after="0" w:line="240" w:lineRule="auto"/>
      <w:outlineLvl w:val="0"/>
    </w:pPr>
    <w:rPr>
      <w:rFonts w:ascii="Tahoma" w:eastAsia="Times New Roman" w:hAnsi="Tahoma" w:cs="Arial"/>
      <w:bCs/>
      <w:sz w:val="20"/>
      <w:szCs w:val="32"/>
      <w:lang w:eastAsia="en-US"/>
    </w:rPr>
  </w:style>
  <w:style w:type="paragraph" w:styleId="Heading2">
    <w:name w:val="heading 2"/>
    <w:basedOn w:val="Normal"/>
    <w:link w:val="Heading2Char"/>
    <w:uiPriority w:val="99"/>
    <w:unhideWhenUsed/>
    <w:qFormat/>
    <w:rsid w:val="00C24F5A"/>
    <w:pPr>
      <w:numPr>
        <w:ilvl w:val="1"/>
        <w:numId w:val="8"/>
      </w:numPr>
      <w:spacing w:before="240" w:after="0" w:line="240" w:lineRule="auto"/>
      <w:outlineLvl w:val="1"/>
    </w:pPr>
    <w:rPr>
      <w:rFonts w:ascii="Tahoma" w:eastAsia="Times New Roman" w:hAnsi="Tahoma" w:cs="Arial"/>
      <w:bCs/>
      <w:iCs/>
      <w:sz w:val="20"/>
      <w:szCs w:val="28"/>
      <w:lang w:eastAsia="en-US"/>
    </w:rPr>
  </w:style>
  <w:style w:type="paragraph" w:styleId="Heading3">
    <w:name w:val="heading 3"/>
    <w:basedOn w:val="Normal"/>
    <w:link w:val="Heading3Char"/>
    <w:uiPriority w:val="99"/>
    <w:semiHidden/>
    <w:unhideWhenUsed/>
    <w:qFormat/>
    <w:rsid w:val="00C24F5A"/>
    <w:pPr>
      <w:numPr>
        <w:ilvl w:val="2"/>
        <w:numId w:val="8"/>
      </w:numPr>
      <w:spacing w:before="240" w:after="0" w:line="240" w:lineRule="auto"/>
      <w:outlineLvl w:val="2"/>
    </w:pPr>
    <w:rPr>
      <w:rFonts w:ascii="Tahoma" w:eastAsia="Times New Roman" w:hAnsi="Tahoma" w:cs="Arial"/>
      <w:bCs/>
      <w:sz w:val="20"/>
      <w:szCs w:val="26"/>
      <w:lang w:eastAsia="en-US"/>
    </w:rPr>
  </w:style>
  <w:style w:type="paragraph" w:styleId="Heading4">
    <w:name w:val="heading 4"/>
    <w:basedOn w:val="Normal"/>
    <w:link w:val="Heading4Char"/>
    <w:uiPriority w:val="99"/>
    <w:semiHidden/>
    <w:unhideWhenUsed/>
    <w:qFormat/>
    <w:rsid w:val="00C24F5A"/>
    <w:pPr>
      <w:numPr>
        <w:ilvl w:val="3"/>
        <w:numId w:val="8"/>
      </w:numPr>
      <w:spacing w:before="240" w:after="0" w:line="240" w:lineRule="auto"/>
      <w:outlineLvl w:val="3"/>
    </w:pPr>
    <w:rPr>
      <w:rFonts w:ascii="Tahoma" w:eastAsia="Times New Roman" w:hAnsi="Tahoma" w:cs="Times New Roman"/>
      <w:bCs/>
      <w:sz w:val="20"/>
      <w:szCs w:val="28"/>
      <w:lang w:eastAsia="en-US"/>
    </w:rPr>
  </w:style>
  <w:style w:type="paragraph" w:styleId="Heading5">
    <w:name w:val="heading 5"/>
    <w:basedOn w:val="Normal"/>
    <w:link w:val="Heading5Char"/>
    <w:uiPriority w:val="99"/>
    <w:semiHidden/>
    <w:unhideWhenUsed/>
    <w:qFormat/>
    <w:rsid w:val="00C24F5A"/>
    <w:pPr>
      <w:numPr>
        <w:ilvl w:val="4"/>
        <w:numId w:val="8"/>
      </w:numPr>
      <w:spacing w:before="240" w:after="0" w:line="240" w:lineRule="auto"/>
      <w:outlineLvl w:val="4"/>
    </w:pPr>
    <w:rPr>
      <w:rFonts w:ascii="Tahoma" w:eastAsia="Times New Roman" w:hAnsi="Tahoma" w:cs="Times New Roman"/>
      <w:bCs/>
      <w:iCs/>
      <w:sz w:val="20"/>
      <w:szCs w:val="26"/>
      <w:lang w:eastAsia="en-US"/>
    </w:rPr>
  </w:style>
  <w:style w:type="paragraph" w:styleId="Heading6">
    <w:name w:val="heading 6"/>
    <w:basedOn w:val="Normal"/>
    <w:link w:val="Heading6Char"/>
    <w:uiPriority w:val="99"/>
    <w:semiHidden/>
    <w:unhideWhenUsed/>
    <w:qFormat/>
    <w:rsid w:val="00C24F5A"/>
    <w:pPr>
      <w:numPr>
        <w:ilvl w:val="5"/>
        <w:numId w:val="8"/>
      </w:numPr>
      <w:spacing w:before="240" w:after="0" w:line="240" w:lineRule="auto"/>
      <w:outlineLvl w:val="5"/>
    </w:pPr>
    <w:rPr>
      <w:rFonts w:ascii="Tahoma" w:eastAsia="Times New Roman" w:hAnsi="Tahoma" w:cs="Times New Roman"/>
      <w:bCs/>
      <w:sz w:val="20"/>
      <w:lang w:eastAsia="en-US"/>
    </w:rPr>
  </w:style>
  <w:style w:type="paragraph" w:styleId="Heading7">
    <w:name w:val="heading 7"/>
    <w:basedOn w:val="Normal"/>
    <w:link w:val="Heading7Char"/>
    <w:uiPriority w:val="99"/>
    <w:semiHidden/>
    <w:unhideWhenUsed/>
    <w:qFormat/>
    <w:rsid w:val="00C24F5A"/>
    <w:pPr>
      <w:numPr>
        <w:ilvl w:val="6"/>
        <w:numId w:val="8"/>
      </w:numPr>
      <w:spacing w:before="240" w:after="0" w:line="240" w:lineRule="auto"/>
      <w:outlineLvl w:val="6"/>
    </w:pPr>
    <w:rPr>
      <w:rFonts w:ascii="Tahoma" w:eastAsia="Times New Roman" w:hAnsi="Tahoma" w:cs="Times New Roman"/>
      <w:sz w:val="20"/>
      <w:szCs w:val="24"/>
      <w:lang w:eastAsia="en-US"/>
    </w:rPr>
  </w:style>
  <w:style w:type="paragraph" w:styleId="Heading8">
    <w:name w:val="heading 8"/>
    <w:basedOn w:val="Normal"/>
    <w:link w:val="Heading8Char"/>
    <w:uiPriority w:val="99"/>
    <w:semiHidden/>
    <w:unhideWhenUsed/>
    <w:qFormat/>
    <w:rsid w:val="00C24F5A"/>
    <w:pPr>
      <w:numPr>
        <w:ilvl w:val="7"/>
        <w:numId w:val="8"/>
      </w:numPr>
      <w:spacing w:before="240" w:after="0" w:line="240" w:lineRule="auto"/>
      <w:outlineLvl w:val="7"/>
    </w:pPr>
    <w:rPr>
      <w:rFonts w:ascii="Tahoma" w:eastAsia="Times New Roman" w:hAnsi="Tahoma" w:cs="Times New Roman"/>
      <w:iCs/>
      <w:sz w:val="20"/>
      <w:szCs w:val="24"/>
      <w:lang w:eastAsia="en-US"/>
    </w:rPr>
  </w:style>
  <w:style w:type="paragraph" w:styleId="Heading9">
    <w:name w:val="heading 9"/>
    <w:basedOn w:val="Normal"/>
    <w:link w:val="Heading9Char"/>
    <w:uiPriority w:val="99"/>
    <w:semiHidden/>
    <w:unhideWhenUsed/>
    <w:qFormat/>
    <w:rsid w:val="00C24F5A"/>
    <w:pPr>
      <w:numPr>
        <w:ilvl w:val="8"/>
        <w:numId w:val="8"/>
      </w:numPr>
      <w:spacing w:before="240" w:after="0" w:line="240" w:lineRule="auto"/>
      <w:outlineLvl w:val="8"/>
    </w:pPr>
    <w:rPr>
      <w:rFonts w:ascii="Tahoma" w:eastAsia="Times New Roman" w:hAnsi="Tahoma"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customStyle="1" w:styleId="Heading1Char">
    <w:name w:val="Heading 1 Char"/>
    <w:basedOn w:val="DefaultParagraphFont"/>
    <w:link w:val="Heading1"/>
    <w:uiPriority w:val="99"/>
    <w:rsid w:val="00C24F5A"/>
    <w:rPr>
      <w:rFonts w:ascii="Tahoma" w:eastAsia="Times New Roman" w:hAnsi="Tahoma" w:cs="Arial"/>
      <w:bCs/>
      <w:sz w:val="20"/>
      <w:szCs w:val="32"/>
      <w:lang w:eastAsia="en-US"/>
    </w:rPr>
  </w:style>
  <w:style w:type="character" w:customStyle="1" w:styleId="Heading2Char">
    <w:name w:val="Heading 2 Char"/>
    <w:basedOn w:val="DefaultParagraphFont"/>
    <w:link w:val="Heading2"/>
    <w:uiPriority w:val="99"/>
    <w:rsid w:val="00C24F5A"/>
    <w:rPr>
      <w:rFonts w:ascii="Tahoma" w:eastAsia="Times New Roman" w:hAnsi="Tahoma" w:cs="Arial"/>
      <w:bCs/>
      <w:iCs/>
      <w:sz w:val="20"/>
      <w:szCs w:val="28"/>
      <w:lang w:eastAsia="en-US"/>
    </w:rPr>
  </w:style>
  <w:style w:type="character" w:customStyle="1" w:styleId="Heading3Char">
    <w:name w:val="Heading 3 Char"/>
    <w:basedOn w:val="DefaultParagraphFont"/>
    <w:link w:val="Heading3"/>
    <w:uiPriority w:val="99"/>
    <w:semiHidden/>
    <w:rsid w:val="00C24F5A"/>
    <w:rPr>
      <w:rFonts w:ascii="Tahoma" w:eastAsia="Times New Roman" w:hAnsi="Tahoma" w:cs="Arial"/>
      <w:bCs/>
      <w:sz w:val="20"/>
      <w:szCs w:val="26"/>
      <w:lang w:eastAsia="en-US"/>
    </w:rPr>
  </w:style>
  <w:style w:type="character" w:customStyle="1" w:styleId="Heading4Char">
    <w:name w:val="Heading 4 Char"/>
    <w:basedOn w:val="DefaultParagraphFont"/>
    <w:link w:val="Heading4"/>
    <w:uiPriority w:val="99"/>
    <w:semiHidden/>
    <w:rsid w:val="00C24F5A"/>
    <w:rPr>
      <w:rFonts w:ascii="Tahoma" w:eastAsia="Times New Roman" w:hAnsi="Tahoma" w:cs="Times New Roman"/>
      <w:bCs/>
      <w:sz w:val="20"/>
      <w:szCs w:val="28"/>
      <w:lang w:eastAsia="en-US"/>
    </w:rPr>
  </w:style>
  <w:style w:type="character" w:customStyle="1" w:styleId="Heading5Char">
    <w:name w:val="Heading 5 Char"/>
    <w:basedOn w:val="DefaultParagraphFont"/>
    <w:link w:val="Heading5"/>
    <w:uiPriority w:val="99"/>
    <w:semiHidden/>
    <w:rsid w:val="00C24F5A"/>
    <w:rPr>
      <w:rFonts w:ascii="Tahoma" w:eastAsia="Times New Roman" w:hAnsi="Tahoma" w:cs="Times New Roman"/>
      <w:bCs/>
      <w:iCs/>
      <w:sz w:val="20"/>
      <w:szCs w:val="26"/>
      <w:lang w:eastAsia="en-US"/>
    </w:rPr>
  </w:style>
  <w:style w:type="character" w:customStyle="1" w:styleId="Heading6Char">
    <w:name w:val="Heading 6 Char"/>
    <w:basedOn w:val="DefaultParagraphFont"/>
    <w:link w:val="Heading6"/>
    <w:uiPriority w:val="99"/>
    <w:semiHidden/>
    <w:rsid w:val="00C24F5A"/>
    <w:rPr>
      <w:rFonts w:ascii="Tahoma" w:eastAsia="Times New Roman" w:hAnsi="Tahoma" w:cs="Times New Roman"/>
      <w:bCs/>
      <w:sz w:val="20"/>
      <w:lang w:eastAsia="en-US"/>
    </w:rPr>
  </w:style>
  <w:style w:type="character" w:customStyle="1" w:styleId="Heading7Char">
    <w:name w:val="Heading 7 Char"/>
    <w:basedOn w:val="DefaultParagraphFont"/>
    <w:link w:val="Heading7"/>
    <w:uiPriority w:val="99"/>
    <w:semiHidden/>
    <w:rsid w:val="00C24F5A"/>
    <w:rPr>
      <w:rFonts w:ascii="Tahoma" w:eastAsia="Times New Roman" w:hAnsi="Tahoma" w:cs="Times New Roman"/>
      <w:sz w:val="20"/>
      <w:szCs w:val="24"/>
      <w:lang w:eastAsia="en-US"/>
    </w:rPr>
  </w:style>
  <w:style w:type="character" w:customStyle="1" w:styleId="Heading8Char">
    <w:name w:val="Heading 8 Char"/>
    <w:basedOn w:val="DefaultParagraphFont"/>
    <w:link w:val="Heading8"/>
    <w:uiPriority w:val="99"/>
    <w:semiHidden/>
    <w:rsid w:val="00C24F5A"/>
    <w:rPr>
      <w:rFonts w:ascii="Tahoma" w:eastAsia="Times New Roman" w:hAnsi="Tahoma" w:cs="Times New Roman"/>
      <w:iCs/>
      <w:sz w:val="20"/>
      <w:szCs w:val="24"/>
      <w:lang w:eastAsia="en-US"/>
    </w:rPr>
  </w:style>
  <w:style w:type="character" w:customStyle="1" w:styleId="Heading9Char">
    <w:name w:val="Heading 9 Char"/>
    <w:basedOn w:val="DefaultParagraphFont"/>
    <w:link w:val="Heading9"/>
    <w:uiPriority w:val="99"/>
    <w:semiHidden/>
    <w:rsid w:val="00C24F5A"/>
    <w:rPr>
      <w:rFonts w:ascii="Tahoma" w:eastAsia="Times New Roman" w:hAnsi="Tahoma" w:cs="Arial"/>
      <w:sz w:val="20"/>
      <w:lang w:eastAsia="en-US"/>
    </w:rPr>
  </w:style>
  <w:style w:type="character" w:styleId="CommentReference">
    <w:name w:val="annotation reference"/>
    <w:basedOn w:val="DefaultParagraphFont"/>
    <w:uiPriority w:val="99"/>
    <w:semiHidden/>
    <w:unhideWhenUsed/>
    <w:rsid w:val="00637854"/>
    <w:rPr>
      <w:sz w:val="16"/>
      <w:szCs w:val="16"/>
    </w:rPr>
  </w:style>
  <w:style w:type="paragraph" w:styleId="CommentText">
    <w:name w:val="annotation text"/>
    <w:basedOn w:val="Normal"/>
    <w:link w:val="CommentTextChar"/>
    <w:uiPriority w:val="99"/>
    <w:semiHidden/>
    <w:unhideWhenUsed/>
    <w:rsid w:val="00637854"/>
    <w:pPr>
      <w:spacing w:line="240" w:lineRule="auto"/>
    </w:pPr>
    <w:rPr>
      <w:sz w:val="20"/>
      <w:szCs w:val="20"/>
    </w:rPr>
  </w:style>
  <w:style w:type="character" w:customStyle="1" w:styleId="CommentTextChar">
    <w:name w:val="Comment Text Char"/>
    <w:basedOn w:val="DefaultParagraphFont"/>
    <w:link w:val="CommentText"/>
    <w:uiPriority w:val="99"/>
    <w:semiHidden/>
    <w:rsid w:val="00637854"/>
    <w:rPr>
      <w:sz w:val="20"/>
      <w:szCs w:val="20"/>
    </w:rPr>
  </w:style>
  <w:style w:type="paragraph" w:styleId="CommentSubject">
    <w:name w:val="annotation subject"/>
    <w:basedOn w:val="CommentText"/>
    <w:next w:val="CommentText"/>
    <w:link w:val="CommentSubjectChar"/>
    <w:uiPriority w:val="99"/>
    <w:semiHidden/>
    <w:unhideWhenUsed/>
    <w:rsid w:val="00637854"/>
    <w:rPr>
      <w:b/>
      <w:bCs/>
    </w:rPr>
  </w:style>
  <w:style w:type="character" w:customStyle="1" w:styleId="CommentSubjectChar">
    <w:name w:val="Comment Subject Char"/>
    <w:basedOn w:val="CommentTextChar"/>
    <w:link w:val="CommentSubject"/>
    <w:uiPriority w:val="99"/>
    <w:semiHidden/>
    <w:rsid w:val="00637854"/>
    <w:rPr>
      <w:b/>
      <w:bCs/>
      <w:sz w:val="20"/>
      <w:szCs w:val="20"/>
    </w:rPr>
  </w:style>
  <w:style w:type="paragraph" w:styleId="BalloonText">
    <w:name w:val="Balloon Text"/>
    <w:basedOn w:val="Normal"/>
    <w:link w:val="BalloonTextChar"/>
    <w:uiPriority w:val="99"/>
    <w:semiHidden/>
    <w:unhideWhenUsed/>
    <w:rsid w:val="006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4"/>
    <w:rPr>
      <w:rFonts w:ascii="Segoe UI" w:hAnsi="Segoe UI" w:cs="Segoe UI"/>
      <w:sz w:val="18"/>
      <w:szCs w:val="18"/>
    </w:rPr>
  </w:style>
  <w:style w:type="character" w:styleId="Hyperlink">
    <w:name w:val="Hyperlink"/>
    <w:basedOn w:val="DefaultParagraphFont"/>
    <w:uiPriority w:val="99"/>
    <w:unhideWhenUsed/>
    <w:rsid w:val="00B67979"/>
    <w:rPr>
      <w:color w:val="0000FF" w:themeColor="hyperlink"/>
      <w:u w:val="single"/>
    </w:rPr>
  </w:style>
  <w:style w:type="character" w:styleId="UnresolvedMention">
    <w:name w:val="Unresolved Mention"/>
    <w:basedOn w:val="DefaultParagraphFont"/>
    <w:uiPriority w:val="99"/>
    <w:semiHidden/>
    <w:unhideWhenUsed/>
    <w:rsid w:val="00B6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7144">
      <w:bodyDiv w:val="1"/>
      <w:marLeft w:val="0"/>
      <w:marRight w:val="0"/>
      <w:marTop w:val="0"/>
      <w:marBottom w:val="0"/>
      <w:divBdr>
        <w:top w:val="none" w:sz="0" w:space="0" w:color="auto"/>
        <w:left w:val="none" w:sz="0" w:space="0" w:color="auto"/>
        <w:bottom w:val="none" w:sz="0" w:space="0" w:color="auto"/>
        <w:right w:val="none" w:sz="0" w:space="0" w:color="auto"/>
      </w:divBdr>
    </w:div>
    <w:div w:id="325323881">
      <w:bodyDiv w:val="1"/>
      <w:marLeft w:val="0"/>
      <w:marRight w:val="0"/>
      <w:marTop w:val="0"/>
      <w:marBottom w:val="0"/>
      <w:divBdr>
        <w:top w:val="none" w:sz="0" w:space="0" w:color="auto"/>
        <w:left w:val="none" w:sz="0" w:space="0" w:color="auto"/>
        <w:bottom w:val="none" w:sz="0" w:space="0" w:color="auto"/>
        <w:right w:val="none" w:sz="0" w:space="0" w:color="auto"/>
      </w:divBdr>
    </w:div>
    <w:div w:id="349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egislation.qld.gov.au/view/html/inforce/current/act-2013-ecsn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CONNAH, Emily</DisplayName>
        <AccountId>64</AccountId>
        <AccountType/>
      </UserInfo>
    </PPContentAuthor>
    <PPContentApprover xmlns="687c0ba5-25f6-467d-a8e9-4285ca7a69ae">
      <UserInfo>
        <DisplayName/>
        <AccountId xsi:nil="true"/>
        <AccountType/>
      </UserInfo>
    </PPContentApprover>
    <PPModeratedDate xmlns="687c0ba5-25f6-467d-a8e9-4285ca7a69ae">2025-05-19T22:56:18+00:00</PPModeratedDate>
    <PPReferenceNumber xmlns="687c0ba5-25f6-467d-a8e9-4285ca7a69ae" xsi:nil="true"/>
    <PPReviewDate xmlns="687c0ba5-25f6-467d-a8e9-4285ca7a69ae" xsi:nil="true"/>
    <PPContentOwner xmlns="687c0ba5-25f6-467d-a8e9-4285ca7a69ae">
      <UserInfo>
        <DisplayName>WORRELL, Jane</DisplayName>
        <AccountId>31</AccountId>
        <AccountType/>
      </UserInfo>
    </PPContentOwner>
    <PPLastReviewedDate xmlns="687c0ba5-25f6-467d-a8e9-4285ca7a69ae">2025-05-19T22:56:18+00:00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B2015-B1CA-4B27-9844-859B18DAEAEB}">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customXml/itemProps2.xml><?xml version="1.0" encoding="utf-8"?>
<ds:datastoreItem xmlns:ds="http://schemas.openxmlformats.org/officeDocument/2006/customXml" ds:itemID="{386DBD87-3B63-40CB-A331-FAF1E32CF496}">
  <ds:schemaRefs>
    <ds:schemaRef ds:uri="http://schemas.microsoft.com/sharepoint/v3/contenttype/forms"/>
  </ds:schemaRefs>
</ds:datastoreItem>
</file>

<file path=customXml/itemProps3.xml><?xml version="1.0" encoding="utf-8"?>
<ds:datastoreItem xmlns:ds="http://schemas.openxmlformats.org/officeDocument/2006/customXml" ds:itemID="{5EBFABB6-72E8-4A0C-AE13-EE7DA6413A72}">
  <ds:schemaRefs>
    <ds:schemaRef ds:uri="http://schemas.openxmlformats.org/officeDocument/2006/bibliography"/>
  </ds:schemaRefs>
</ds:datastoreItem>
</file>

<file path=customXml/itemProps4.xml><?xml version="1.0" encoding="utf-8"?>
<ds:datastoreItem xmlns:ds="http://schemas.openxmlformats.org/officeDocument/2006/customXml" ds:itemID="{5E0F9A22-1BD9-4A9F-98E9-D88F4D419D1B}"/>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Prosecution - Affinity Education fined $35,000 for leaving child on bus</vt:lpstr>
    </vt:vector>
  </TitlesOfParts>
  <Company>Queensland Government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 Education Ltd—enforceable undertaking</dc:title>
  <dc:subject>G8 Education Ltd—enforceable undertaking</dc:subject>
  <dc:creator>Queensland Goverment</dc:creator>
  <cp:keywords>G8 Education Ltd; enforceable undertaking</cp:keywords>
  <cp:revision>2</cp:revision>
  <cp:lastPrinted>2021-09-29T01:30:00Z</cp:lastPrinted>
  <dcterms:created xsi:type="dcterms:W3CDTF">2024-10-02T01:34:00Z</dcterms:created>
  <dcterms:modified xsi:type="dcterms:W3CDTF">2024-10-02T01:34:00Z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