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A624" w14:textId="77777777" w:rsidR="001B2FC4" w:rsidRDefault="001B2FC4">
      <w:pPr>
        <w:pStyle w:val="Title"/>
        <w:rPr>
          <w:sz w:val="20"/>
        </w:rPr>
      </w:pPr>
    </w:p>
    <w:p w14:paraId="6C3F9083" w14:textId="77777777" w:rsidR="001B2FC4" w:rsidRDefault="001B2FC4">
      <w:pPr>
        <w:pStyle w:val="Title"/>
        <w:spacing w:before="86" w:after="1"/>
        <w:rPr>
          <w:sz w:val="20"/>
        </w:rPr>
      </w:pPr>
    </w:p>
    <w:tbl>
      <w:tblPr>
        <w:tblW w:w="0" w:type="auto"/>
        <w:tblInd w:w="149" w:type="dxa"/>
        <w:tblBorders>
          <w:top w:val="double" w:sz="6" w:space="0" w:color="EFEFEF"/>
          <w:left w:val="double" w:sz="6" w:space="0" w:color="EFEFEF"/>
          <w:bottom w:val="double" w:sz="6" w:space="0" w:color="EFEFEF"/>
          <w:right w:val="double" w:sz="6" w:space="0" w:color="EFEFEF"/>
          <w:insideH w:val="double" w:sz="6" w:space="0" w:color="EFEFEF"/>
          <w:insideV w:val="doub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2345"/>
        <w:gridCol w:w="4107"/>
      </w:tblGrid>
      <w:tr w:rsidR="001B2FC4" w14:paraId="264C8B4A" w14:textId="77777777">
        <w:trPr>
          <w:trHeight w:val="256"/>
        </w:trPr>
        <w:tc>
          <w:tcPr>
            <w:tcW w:w="8989" w:type="dxa"/>
            <w:gridSpan w:val="3"/>
            <w:tcBorders>
              <w:left w:val="double" w:sz="6" w:space="0" w:color="A0A0A0"/>
            </w:tcBorders>
            <w:shd w:val="clear" w:color="auto" w:fill="CCCCCC"/>
          </w:tcPr>
          <w:p w14:paraId="5D97DED5" w14:textId="77777777" w:rsidR="001B2FC4" w:rsidRDefault="002B2CA7">
            <w:pPr>
              <w:pStyle w:val="TableParagraph"/>
              <w:spacing w:before="12" w:line="224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1B2FC4" w14:paraId="13E033CF" w14:textId="77777777">
        <w:trPr>
          <w:trHeight w:val="331"/>
        </w:trPr>
        <w:tc>
          <w:tcPr>
            <w:tcW w:w="2537" w:type="dxa"/>
            <w:vMerge w:val="restart"/>
            <w:tcBorders>
              <w:left w:val="double" w:sz="6" w:space="0" w:color="A0A0A0"/>
              <w:right w:val="single" w:sz="6" w:space="0" w:color="EFEFEF"/>
            </w:tcBorders>
            <w:shd w:val="clear" w:color="auto" w:fill="E6E6E6"/>
          </w:tcPr>
          <w:p w14:paraId="61885DAA" w14:textId="77777777" w:rsidR="001B2FC4" w:rsidRDefault="002B2CA7">
            <w:pPr>
              <w:pStyle w:val="TableParagraph"/>
              <w:spacing w:before="10"/>
              <w:ind w:left="147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</w:p>
          <w:p w14:paraId="477E1D0C" w14:textId="77777777" w:rsidR="001B2FC4" w:rsidRDefault="002B2CA7">
            <w:pPr>
              <w:pStyle w:val="TableParagraph"/>
              <w:spacing w:before="1"/>
              <w:ind w:left="507" w:right="298"/>
              <w:jc w:val="both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gramStart"/>
            <w:r>
              <w:rPr>
                <w:sz w:val="20"/>
              </w:rPr>
              <w:t>entity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enforcement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action </w:t>
            </w:r>
            <w:r>
              <w:rPr>
                <w:spacing w:val="-2"/>
                <w:sz w:val="20"/>
              </w:rPr>
              <w:t>relates</w:t>
            </w:r>
          </w:p>
        </w:tc>
        <w:tc>
          <w:tcPr>
            <w:tcW w:w="2345" w:type="dxa"/>
            <w:tcBorders>
              <w:left w:val="single" w:sz="6" w:space="0" w:color="EFEFEF"/>
              <w:right w:val="single" w:sz="6" w:space="0" w:color="EFEFEF"/>
            </w:tcBorders>
            <w:shd w:val="clear" w:color="auto" w:fill="D8D8D8"/>
          </w:tcPr>
          <w:p w14:paraId="4C2D2A7A" w14:textId="77777777" w:rsidR="001B2FC4" w:rsidRDefault="002B2CA7">
            <w:pPr>
              <w:pStyle w:val="TableParagraph"/>
              <w:spacing w:before="11"/>
            </w:pPr>
            <w:r>
              <w:t>Approved</w:t>
            </w:r>
            <w:r>
              <w:rPr>
                <w:spacing w:val="-2"/>
              </w:rPr>
              <w:t xml:space="preserve"> Provider</w:t>
            </w:r>
          </w:p>
        </w:tc>
        <w:tc>
          <w:tcPr>
            <w:tcW w:w="4107" w:type="dxa"/>
            <w:tcBorders>
              <w:left w:val="single" w:sz="6" w:space="0" w:color="EFEFEF"/>
            </w:tcBorders>
          </w:tcPr>
          <w:p w14:paraId="7BC37158" w14:textId="4B0F430B" w:rsidR="001B2FC4" w:rsidRDefault="00AD04A2">
            <w:pPr>
              <w:pStyle w:val="TableParagraph"/>
              <w:spacing w:before="11"/>
              <w:ind w:left="170"/>
            </w:pPr>
            <w:r>
              <w:t xml:space="preserve">Grans &amp; </w:t>
            </w:r>
            <w:proofErr w:type="spellStart"/>
            <w:proofErr w:type="gramStart"/>
            <w:r>
              <w:t>Co.Pty.Ltd</w:t>
            </w:r>
            <w:proofErr w:type="spellEnd"/>
            <w:proofErr w:type="gramEnd"/>
          </w:p>
        </w:tc>
      </w:tr>
      <w:tr w:rsidR="001B2FC4" w14:paraId="38926AE7" w14:textId="77777777">
        <w:trPr>
          <w:trHeight w:val="334"/>
        </w:trPr>
        <w:tc>
          <w:tcPr>
            <w:tcW w:w="2537" w:type="dxa"/>
            <w:vMerge/>
            <w:tcBorders>
              <w:top w:val="nil"/>
              <w:left w:val="double" w:sz="6" w:space="0" w:color="A0A0A0"/>
              <w:right w:val="single" w:sz="6" w:space="0" w:color="EFEFEF"/>
            </w:tcBorders>
            <w:shd w:val="clear" w:color="auto" w:fill="E6E6E6"/>
          </w:tcPr>
          <w:p w14:paraId="1B3042F9" w14:textId="77777777" w:rsidR="001B2FC4" w:rsidRDefault="001B2FC4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left w:val="single" w:sz="6" w:space="0" w:color="EFEFEF"/>
              <w:right w:val="single" w:sz="6" w:space="0" w:color="EFEFEF"/>
            </w:tcBorders>
            <w:shd w:val="clear" w:color="auto" w:fill="D8D8D8"/>
          </w:tcPr>
          <w:p w14:paraId="25861BD5" w14:textId="77777777" w:rsidR="001B2FC4" w:rsidRDefault="002B2CA7">
            <w:pPr>
              <w:pStyle w:val="TableParagraph"/>
            </w:pPr>
            <w:r>
              <w:t>Service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  <w:tc>
          <w:tcPr>
            <w:tcW w:w="4107" w:type="dxa"/>
            <w:tcBorders>
              <w:left w:val="single" w:sz="6" w:space="0" w:color="EFEFEF"/>
            </w:tcBorders>
          </w:tcPr>
          <w:p w14:paraId="24E677E6" w14:textId="77777777" w:rsidR="001B2FC4" w:rsidRDefault="002B2CA7">
            <w:pPr>
              <w:pStyle w:val="TableParagraph"/>
            </w:pPr>
            <w:r>
              <w:t>Centre</w:t>
            </w:r>
            <w:r>
              <w:rPr>
                <w:spacing w:val="-3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1B2FC4" w14:paraId="6ABD8236" w14:textId="77777777">
        <w:trPr>
          <w:trHeight w:val="331"/>
        </w:trPr>
        <w:tc>
          <w:tcPr>
            <w:tcW w:w="2537" w:type="dxa"/>
            <w:vMerge/>
            <w:tcBorders>
              <w:top w:val="nil"/>
              <w:left w:val="double" w:sz="6" w:space="0" w:color="A0A0A0"/>
              <w:right w:val="single" w:sz="6" w:space="0" w:color="EFEFEF"/>
            </w:tcBorders>
            <w:shd w:val="clear" w:color="auto" w:fill="E6E6E6"/>
          </w:tcPr>
          <w:p w14:paraId="641BEA2C" w14:textId="77777777" w:rsidR="001B2FC4" w:rsidRDefault="001B2FC4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left w:val="single" w:sz="6" w:space="0" w:color="EFEFEF"/>
              <w:right w:val="single" w:sz="6" w:space="0" w:color="EFEFEF"/>
            </w:tcBorders>
            <w:shd w:val="clear" w:color="auto" w:fill="D8D8D8"/>
          </w:tcPr>
          <w:p w14:paraId="1DF3740D" w14:textId="77777777" w:rsidR="001B2FC4" w:rsidRDefault="002B2CA7">
            <w:pPr>
              <w:pStyle w:val="TableParagraph"/>
              <w:spacing w:before="11"/>
            </w:pPr>
            <w:r>
              <w:t>Service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4107" w:type="dxa"/>
            <w:tcBorders>
              <w:left w:val="single" w:sz="6" w:space="0" w:color="EFEFEF"/>
            </w:tcBorders>
          </w:tcPr>
          <w:p w14:paraId="1FB7D6F0" w14:textId="161A57E4" w:rsidR="001B2FC4" w:rsidRDefault="00AD04A2">
            <w:pPr>
              <w:pStyle w:val="TableParagraph"/>
              <w:spacing w:before="11"/>
              <w:ind w:left="170"/>
            </w:pPr>
            <w:proofErr w:type="spellStart"/>
            <w:r>
              <w:t>Frogtastic</w:t>
            </w:r>
            <w:proofErr w:type="spellEnd"/>
            <w:r>
              <w:t xml:space="preserve"> Educational Kindergarten and Childcare</w:t>
            </w:r>
          </w:p>
        </w:tc>
      </w:tr>
      <w:tr w:rsidR="001B2FC4" w14:paraId="0669EC12" w14:textId="77777777">
        <w:trPr>
          <w:trHeight w:val="602"/>
        </w:trPr>
        <w:tc>
          <w:tcPr>
            <w:tcW w:w="2537" w:type="dxa"/>
            <w:tcBorders>
              <w:left w:val="double" w:sz="6" w:space="0" w:color="A0A0A0"/>
              <w:right w:val="single" w:sz="6" w:space="0" w:color="EFEFEF"/>
            </w:tcBorders>
            <w:shd w:val="clear" w:color="auto" w:fill="E6E6E6"/>
          </w:tcPr>
          <w:p w14:paraId="03394755" w14:textId="77777777" w:rsidR="001B2FC4" w:rsidRDefault="002B2CA7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address</w:t>
            </w:r>
          </w:p>
        </w:tc>
        <w:tc>
          <w:tcPr>
            <w:tcW w:w="6452" w:type="dxa"/>
            <w:gridSpan w:val="2"/>
            <w:tcBorders>
              <w:left w:val="single" w:sz="6" w:space="0" w:color="EFEFEF"/>
            </w:tcBorders>
          </w:tcPr>
          <w:p w14:paraId="47724911" w14:textId="2CE2FCEF" w:rsidR="001B2FC4" w:rsidRDefault="00AD04A2" w:rsidP="000873F7">
            <w:pPr>
              <w:pStyle w:val="TableParagraph"/>
              <w:ind w:left="25"/>
            </w:pPr>
            <w:r>
              <w:t xml:space="preserve">294 </w:t>
            </w:r>
            <w:proofErr w:type="spellStart"/>
            <w:r>
              <w:t>Branyan</w:t>
            </w:r>
            <w:proofErr w:type="spellEnd"/>
            <w:r>
              <w:t xml:space="preserve"> Drive</w:t>
            </w:r>
            <w:r w:rsidR="002B2CA7">
              <w:t>,</w:t>
            </w:r>
            <w:r w:rsidR="002B2CA7">
              <w:rPr>
                <w:spacing w:val="-2"/>
              </w:rPr>
              <w:t xml:space="preserve"> </w:t>
            </w:r>
            <w:r>
              <w:t>Bundaberg</w:t>
            </w:r>
            <w:r w:rsidR="002B2CA7">
              <w:t>,</w:t>
            </w:r>
            <w:r w:rsidR="002B2CA7">
              <w:rPr>
                <w:spacing w:val="-4"/>
              </w:rPr>
              <w:t xml:space="preserve"> </w:t>
            </w:r>
            <w:r w:rsidR="002B2CA7">
              <w:t>QLD</w:t>
            </w:r>
            <w:r w:rsidR="002B2CA7">
              <w:rPr>
                <w:spacing w:val="-2"/>
              </w:rPr>
              <w:t xml:space="preserve"> </w:t>
            </w:r>
            <w:r w:rsidR="002B2CA7">
              <w:rPr>
                <w:spacing w:val="-4"/>
              </w:rPr>
              <w:t>4</w:t>
            </w:r>
            <w:r>
              <w:rPr>
                <w:spacing w:val="-4"/>
              </w:rPr>
              <w:t>670</w:t>
            </w:r>
          </w:p>
        </w:tc>
      </w:tr>
      <w:tr w:rsidR="001B2FC4" w14:paraId="0E2BBE62" w14:textId="77777777">
        <w:trPr>
          <w:trHeight w:val="600"/>
        </w:trPr>
        <w:tc>
          <w:tcPr>
            <w:tcW w:w="2537" w:type="dxa"/>
            <w:tcBorders>
              <w:left w:val="double" w:sz="6" w:space="0" w:color="A0A0A0"/>
              <w:right w:val="single" w:sz="6" w:space="0" w:color="EFEFEF"/>
            </w:tcBorders>
            <w:shd w:val="clear" w:color="auto" w:fill="E6E6E6"/>
          </w:tcPr>
          <w:p w14:paraId="28921F52" w14:textId="77777777" w:rsidR="001B2FC4" w:rsidRDefault="002B2CA7">
            <w:pPr>
              <w:pStyle w:val="TableParagraph"/>
              <w:spacing w:before="10"/>
              <w:ind w:left="14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08C849C9" w14:textId="77777777" w:rsidR="001B2FC4" w:rsidRDefault="002B2CA7">
            <w:pPr>
              <w:pStyle w:val="TableParagraph"/>
              <w:spacing w:before="1"/>
              <w:ind w:left="507"/>
              <w:rPr>
                <w:sz w:val="20"/>
              </w:rPr>
            </w:pPr>
            <w:r>
              <w:rPr>
                <w:sz w:val="20"/>
              </w:rPr>
              <w:t>Enforcement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Action</w:t>
            </w:r>
          </w:p>
        </w:tc>
        <w:tc>
          <w:tcPr>
            <w:tcW w:w="6452" w:type="dxa"/>
            <w:gridSpan w:val="2"/>
            <w:tcBorders>
              <w:left w:val="single" w:sz="6" w:space="0" w:color="EFEFEF"/>
            </w:tcBorders>
          </w:tcPr>
          <w:p w14:paraId="06C351F4" w14:textId="77777777" w:rsidR="001B2FC4" w:rsidRDefault="002B2CA7" w:rsidP="000873F7">
            <w:pPr>
              <w:pStyle w:val="TableParagraph"/>
              <w:spacing w:before="11"/>
              <w:ind w:left="0"/>
            </w:pPr>
            <w:r>
              <w:rPr>
                <w:spacing w:val="-2"/>
              </w:rPr>
              <w:t>Prosecution</w:t>
            </w:r>
          </w:p>
        </w:tc>
      </w:tr>
      <w:tr w:rsidR="001B2FC4" w14:paraId="42048642" w14:textId="77777777">
        <w:trPr>
          <w:trHeight w:val="3687"/>
        </w:trPr>
        <w:tc>
          <w:tcPr>
            <w:tcW w:w="2537" w:type="dxa"/>
            <w:tcBorders>
              <w:left w:val="double" w:sz="6" w:space="0" w:color="A0A0A0"/>
              <w:right w:val="single" w:sz="6" w:space="0" w:color="EFEFEF"/>
            </w:tcBorders>
            <w:shd w:val="clear" w:color="auto" w:fill="E6E6E6"/>
          </w:tcPr>
          <w:p w14:paraId="3F3366AE" w14:textId="77777777" w:rsidR="001B2FC4" w:rsidRDefault="002B2CA7">
            <w:pPr>
              <w:pStyle w:val="TableParagraph"/>
              <w:ind w:left="507" w:right="65" w:hanging="3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Reason for </w:t>
            </w:r>
            <w:r>
              <w:rPr>
                <w:spacing w:val="-2"/>
                <w:sz w:val="20"/>
              </w:rPr>
              <w:t>Prosecution</w:t>
            </w:r>
          </w:p>
        </w:tc>
        <w:tc>
          <w:tcPr>
            <w:tcW w:w="6452" w:type="dxa"/>
            <w:gridSpan w:val="2"/>
            <w:tcBorders>
              <w:left w:val="single" w:sz="6" w:space="0" w:color="EFEFEF"/>
            </w:tcBorders>
          </w:tcPr>
          <w:p w14:paraId="35DA9B7B" w14:textId="2C812AD0" w:rsidR="002B2CA7" w:rsidRPr="002B2CA7" w:rsidRDefault="002B2CA7" w:rsidP="002B2CA7">
            <w:pPr>
              <w:jc w:val="both"/>
              <w:rPr>
                <w:rFonts w:ascii="Arial" w:hAnsi="Arial" w:cs="Arial"/>
              </w:rPr>
            </w:pPr>
            <w:r w:rsidRPr="002B2CA7">
              <w:rPr>
                <w:rFonts w:ascii="Arial" w:hAnsi="Arial" w:cs="Arial"/>
              </w:rPr>
              <w:t xml:space="preserve">Multiple incidents occurred at </w:t>
            </w:r>
            <w:proofErr w:type="spellStart"/>
            <w:r w:rsidRPr="002B2CA7">
              <w:rPr>
                <w:rFonts w:ascii="Arial" w:hAnsi="Arial" w:cs="Arial"/>
              </w:rPr>
              <w:t>Frogtastic</w:t>
            </w:r>
            <w:proofErr w:type="spellEnd"/>
            <w:r w:rsidRPr="002B2CA7">
              <w:rPr>
                <w:rFonts w:ascii="Arial" w:hAnsi="Arial" w:cs="Arial"/>
              </w:rPr>
              <w:t xml:space="preserve"> Educational Kindergarten and Childcare between February 2021 and July 2022. The incidents included a </w:t>
            </w:r>
            <w:r w:rsidR="002B06F9" w:rsidRPr="002B2CA7">
              <w:rPr>
                <w:rFonts w:ascii="Arial" w:hAnsi="Arial" w:cs="Arial"/>
              </w:rPr>
              <w:t>four-year-old</w:t>
            </w:r>
            <w:r w:rsidRPr="002B2CA7">
              <w:rPr>
                <w:rFonts w:ascii="Arial" w:hAnsi="Arial" w:cs="Arial"/>
              </w:rPr>
              <w:t xml:space="preserve"> child being left unattended on a service bus for approximately 5-15 minutes, a </w:t>
            </w:r>
            <w:r w:rsidR="002B06F9" w:rsidRPr="002B2CA7">
              <w:rPr>
                <w:rFonts w:ascii="Arial" w:hAnsi="Arial" w:cs="Arial"/>
              </w:rPr>
              <w:t>two-year-old</w:t>
            </w:r>
            <w:r w:rsidRPr="002B2CA7">
              <w:rPr>
                <w:rFonts w:ascii="Arial" w:hAnsi="Arial" w:cs="Arial"/>
              </w:rPr>
              <w:t xml:space="preserve"> child was unsupervised in the playground for approximately 2 minutes and two children aged five and six leaving the service premises unsupervised for a period of between 30 and 45 minutes.</w:t>
            </w:r>
          </w:p>
          <w:p w14:paraId="6AE49513" w14:textId="01265013" w:rsidR="001B2FC4" w:rsidRDefault="002B2CA7">
            <w:pPr>
              <w:pStyle w:val="TableParagraph"/>
              <w:spacing w:before="252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Approved</w:t>
            </w:r>
            <w:r>
              <w:rPr>
                <w:spacing w:val="-4"/>
              </w:rPr>
              <w:t xml:space="preserve"> </w:t>
            </w:r>
            <w:r>
              <w:t>Provider</w:t>
            </w:r>
            <w:r>
              <w:rPr>
                <w:spacing w:val="-4"/>
              </w:rPr>
              <w:t xml:space="preserve"> </w:t>
            </w:r>
            <w:r>
              <w:t>pleaded</w:t>
            </w:r>
            <w:r>
              <w:rPr>
                <w:spacing w:val="-2"/>
              </w:rPr>
              <w:t xml:space="preserve"> </w:t>
            </w:r>
            <w:r>
              <w:t>guilty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contravening:</w:t>
            </w:r>
          </w:p>
          <w:p w14:paraId="5E37E280" w14:textId="72543305" w:rsidR="001B2FC4" w:rsidRDefault="002B2CA7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before="122"/>
              <w:ind w:right="221"/>
            </w:pPr>
            <w:r>
              <w:t>Section 165(1) of the National Law - failing to ensure that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child</w:t>
            </w:r>
            <w:r>
              <w:rPr>
                <w:spacing w:val="-6"/>
              </w:rPr>
              <w:t xml:space="preserve"> </w:t>
            </w:r>
            <w:r>
              <w:t>was</w:t>
            </w:r>
            <w:r>
              <w:rPr>
                <w:spacing w:val="-6"/>
              </w:rPr>
              <w:t xml:space="preserve"> </w:t>
            </w:r>
            <w:r>
              <w:t>adequately</w:t>
            </w:r>
            <w:r>
              <w:rPr>
                <w:spacing w:val="-4"/>
              </w:rPr>
              <w:t xml:space="preserve"> </w:t>
            </w:r>
            <w:r>
              <w:t>supervised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times on two occasions</w:t>
            </w:r>
            <w:r w:rsidR="002B06F9">
              <w:t>;</w:t>
            </w:r>
          </w:p>
          <w:p w14:paraId="20F93838" w14:textId="77777777" w:rsidR="001B2FC4" w:rsidRDefault="002B2CA7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before="252"/>
              <w:ind w:right="185"/>
            </w:pPr>
            <w:r>
              <w:t>Section 167(1) of the National Law - failing to ensure that</w:t>
            </w:r>
            <w:r>
              <w:rPr>
                <w:spacing w:val="-3"/>
              </w:rPr>
              <w:t xml:space="preserve"> </w:t>
            </w:r>
            <w:r>
              <w:t>every</w:t>
            </w:r>
            <w:r>
              <w:rPr>
                <w:spacing w:val="-6"/>
              </w:rPr>
              <w:t xml:space="preserve"> </w:t>
            </w:r>
            <w:r>
              <w:t>reasonable</w:t>
            </w:r>
            <w:r>
              <w:rPr>
                <w:spacing w:val="-6"/>
              </w:rPr>
              <w:t xml:space="preserve"> </w:t>
            </w:r>
            <w:r>
              <w:t>precaution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6"/>
              </w:rPr>
              <w:t xml:space="preserve"> </w:t>
            </w:r>
            <w:r>
              <w:t>taken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protect</w:t>
            </w:r>
            <w:r>
              <w:rPr>
                <w:spacing w:val="-3"/>
              </w:rPr>
              <w:t xml:space="preserve"> </w:t>
            </w:r>
            <w:r>
              <w:t>a child from harm or from any hazard likely to cause</w:t>
            </w:r>
          </w:p>
          <w:p w14:paraId="34E2822F" w14:textId="70C025A2" w:rsidR="001B2FC4" w:rsidRDefault="002B2CA7">
            <w:pPr>
              <w:pStyle w:val="TableParagraph"/>
              <w:spacing w:before="0" w:line="245" w:lineRule="exact"/>
              <w:ind w:left="813"/>
              <w:rPr>
                <w:spacing w:val="-2"/>
              </w:rPr>
            </w:pPr>
            <w:r>
              <w:rPr>
                <w:spacing w:val="-2"/>
              </w:rPr>
              <w:t>Injury on two occasions</w:t>
            </w:r>
            <w:r w:rsidR="002B06F9">
              <w:rPr>
                <w:spacing w:val="-2"/>
              </w:rPr>
              <w:t>;</w:t>
            </w:r>
          </w:p>
          <w:p w14:paraId="59237960" w14:textId="3A5D6E05" w:rsidR="002B2CA7" w:rsidRPr="002B2CA7" w:rsidRDefault="002B2CA7" w:rsidP="002B2CA7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before="252"/>
              <w:ind w:right="185"/>
              <w:rPr>
                <w:spacing w:val="-2"/>
              </w:rPr>
            </w:pPr>
            <w:r>
              <w:t>Section 177(3) of the National Law – Failure to comply with a compliance notice</w:t>
            </w:r>
            <w:r w:rsidR="002B06F9">
              <w:t>; and</w:t>
            </w:r>
          </w:p>
          <w:p w14:paraId="410E52FB" w14:textId="2E3D8351" w:rsidR="002B2CA7" w:rsidRDefault="002B2CA7" w:rsidP="002B2CA7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before="252"/>
              <w:ind w:right="185"/>
              <w:rPr>
                <w:spacing w:val="-2"/>
              </w:rPr>
            </w:pPr>
            <w:r>
              <w:t>Section 176(3) of the National Law – Failure to comply with compliance direction.</w:t>
            </w:r>
          </w:p>
          <w:p w14:paraId="13EE8F84" w14:textId="51BC0396" w:rsidR="002B2CA7" w:rsidRDefault="002B2CA7">
            <w:pPr>
              <w:pStyle w:val="TableParagraph"/>
              <w:spacing w:before="0" w:line="245" w:lineRule="exact"/>
              <w:ind w:left="813"/>
            </w:pPr>
          </w:p>
        </w:tc>
      </w:tr>
      <w:tr w:rsidR="001B2FC4" w14:paraId="5BFEF43A" w14:textId="77777777">
        <w:trPr>
          <w:trHeight w:val="1018"/>
        </w:trPr>
        <w:tc>
          <w:tcPr>
            <w:tcW w:w="2537" w:type="dxa"/>
            <w:tcBorders>
              <w:left w:val="double" w:sz="6" w:space="0" w:color="A0A0A0"/>
              <w:right w:val="single" w:sz="6" w:space="0" w:color="EFEFEF"/>
            </w:tcBorders>
            <w:shd w:val="clear" w:color="auto" w:fill="E6E6E6"/>
          </w:tcPr>
          <w:p w14:paraId="429F5A82" w14:textId="77777777" w:rsidR="001B2FC4" w:rsidRDefault="002B2CA7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prosecution</w:t>
            </w:r>
          </w:p>
        </w:tc>
        <w:tc>
          <w:tcPr>
            <w:tcW w:w="6452" w:type="dxa"/>
            <w:gridSpan w:val="2"/>
            <w:tcBorders>
              <w:left w:val="single" w:sz="6" w:space="0" w:color="EFEFEF"/>
            </w:tcBorders>
          </w:tcPr>
          <w:p w14:paraId="76600078" w14:textId="451363E0" w:rsidR="001B2FC4" w:rsidRPr="00572DD2" w:rsidRDefault="00AD04A2">
            <w:pPr>
              <w:pStyle w:val="TableParagraph"/>
              <w:rPr>
                <w:b/>
              </w:rPr>
            </w:pPr>
            <w:r w:rsidRPr="00572DD2">
              <w:rPr>
                <w:b/>
              </w:rPr>
              <w:t>7</w:t>
            </w:r>
            <w:r w:rsidR="002B2CA7" w:rsidRPr="00572DD2">
              <w:rPr>
                <w:b/>
                <w:spacing w:val="-1"/>
              </w:rPr>
              <w:t xml:space="preserve"> </w:t>
            </w:r>
            <w:r w:rsidRPr="00572DD2">
              <w:rPr>
                <w:b/>
              </w:rPr>
              <w:t>February</w:t>
            </w:r>
            <w:r w:rsidR="002B2CA7" w:rsidRPr="00572DD2">
              <w:rPr>
                <w:b/>
                <w:spacing w:val="-3"/>
              </w:rPr>
              <w:t xml:space="preserve"> </w:t>
            </w:r>
            <w:r w:rsidR="002B2CA7" w:rsidRPr="00572DD2">
              <w:rPr>
                <w:b/>
                <w:spacing w:val="-4"/>
              </w:rPr>
              <w:t>202</w:t>
            </w:r>
            <w:r w:rsidRPr="00572DD2">
              <w:rPr>
                <w:b/>
                <w:spacing w:val="-4"/>
              </w:rPr>
              <w:t>4</w:t>
            </w:r>
          </w:p>
        </w:tc>
      </w:tr>
      <w:tr w:rsidR="001B2FC4" w14:paraId="3B729C62" w14:textId="77777777">
        <w:trPr>
          <w:trHeight w:val="750"/>
        </w:trPr>
        <w:tc>
          <w:tcPr>
            <w:tcW w:w="2537" w:type="dxa"/>
            <w:tcBorders>
              <w:left w:val="double" w:sz="6" w:space="0" w:color="A0A0A0"/>
              <w:right w:val="single" w:sz="6" w:space="0" w:color="EFEFEF"/>
            </w:tcBorders>
            <w:shd w:val="clear" w:color="auto" w:fill="E6E6E6"/>
          </w:tcPr>
          <w:p w14:paraId="5EEC3FFE" w14:textId="77777777" w:rsidR="001B2FC4" w:rsidRDefault="002B2CA7">
            <w:pPr>
              <w:pStyle w:val="TableParagraph"/>
              <w:ind w:left="507" w:right="65" w:hanging="36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prosecution</w:t>
            </w:r>
          </w:p>
        </w:tc>
        <w:tc>
          <w:tcPr>
            <w:tcW w:w="6452" w:type="dxa"/>
            <w:gridSpan w:val="2"/>
            <w:tcBorders>
              <w:left w:val="single" w:sz="6" w:space="0" w:color="EFEFEF"/>
            </w:tcBorders>
          </w:tcPr>
          <w:p w14:paraId="285FD4D5" w14:textId="7A0075C0" w:rsidR="001B2FC4" w:rsidRPr="00572DD2" w:rsidRDefault="002B2CA7">
            <w:pPr>
              <w:pStyle w:val="TableParagraph"/>
              <w:spacing w:line="241" w:lineRule="exact"/>
              <w:rPr>
                <w:sz w:val="21"/>
              </w:rPr>
            </w:pPr>
            <w:r w:rsidRPr="00572DD2">
              <w:rPr>
                <w:color w:val="333333"/>
                <w:sz w:val="21"/>
              </w:rPr>
              <w:t>The</w:t>
            </w:r>
            <w:r w:rsidRPr="00572DD2">
              <w:rPr>
                <w:color w:val="333333"/>
                <w:spacing w:val="-6"/>
                <w:sz w:val="21"/>
              </w:rPr>
              <w:t xml:space="preserve"> </w:t>
            </w:r>
            <w:r w:rsidR="00D92163" w:rsidRPr="00572DD2">
              <w:rPr>
                <w:color w:val="333333"/>
                <w:spacing w:val="-6"/>
                <w:sz w:val="21"/>
              </w:rPr>
              <w:t>A</w:t>
            </w:r>
            <w:r w:rsidRPr="00572DD2">
              <w:rPr>
                <w:color w:val="333333"/>
                <w:sz w:val="21"/>
              </w:rPr>
              <w:t>pproved</w:t>
            </w:r>
            <w:r w:rsidRPr="00572DD2">
              <w:rPr>
                <w:color w:val="333333"/>
                <w:spacing w:val="-5"/>
                <w:sz w:val="21"/>
              </w:rPr>
              <w:t xml:space="preserve"> </w:t>
            </w:r>
            <w:r w:rsidR="00D92163" w:rsidRPr="00572DD2">
              <w:rPr>
                <w:color w:val="333333"/>
                <w:sz w:val="21"/>
              </w:rPr>
              <w:t>P</w:t>
            </w:r>
            <w:r w:rsidRPr="00572DD2">
              <w:rPr>
                <w:color w:val="333333"/>
                <w:sz w:val="21"/>
              </w:rPr>
              <w:t>rovider</w:t>
            </w:r>
            <w:r w:rsidRPr="00572DD2">
              <w:rPr>
                <w:color w:val="333333"/>
                <w:spacing w:val="-5"/>
                <w:sz w:val="21"/>
              </w:rPr>
              <w:t xml:space="preserve"> </w:t>
            </w:r>
            <w:r w:rsidRPr="00572DD2">
              <w:rPr>
                <w:color w:val="333333"/>
                <w:sz w:val="21"/>
              </w:rPr>
              <w:t>pleaded</w:t>
            </w:r>
            <w:r w:rsidRPr="00572DD2">
              <w:rPr>
                <w:color w:val="333333"/>
                <w:spacing w:val="-4"/>
                <w:sz w:val="21"/>
              </w:rPr>
              <w:t xml:space="preserve"> </w:t>
            </w:r>
            <w:r w:rsidRPr="00572DD2">
              <w:rPr>
                <w:color w:val="333333"/>
                <w:sz w:val="21"/>
              </w:rPr>
              <w:t>guilty</w:t>
            </w:r>
            <w:r w:rsidRPr="00572DD2">
              <w:rPr>
                <w:color w:val="333333"/>
                <w:spacing w:val="-3"/>
                <w:sz w:val="21"/>
              </w:rPr>
              <w:t xml:space="preserve"> </w:t>
            </w:r>
            <w:r w:rsidRPr="00572DD2">
              <w:rPr>
                <w:color w:val="333333"/>
                <w:sz w:val="21"/>
              </w:rPr>
              <w:t>to</w:t>
            </w:r>
            <w:r w:rsidRPr="00572DD2">
              <w:rPr>
                <w:color w:val="333333"/>
                <w:spacing w:val="-3"/>
                <w:sz w:val="21"/>
              </w:rPr>
              <w:t xml:space="preserve"> </w:t>
            </w:r>
            <w:r w:rsidRPr="00572DD2">
              <w:rPr>
                <w:color w:val="333333"/>
                <w:sz w:val="21"/>
              </w:rPr>
              <w:t>all</w:t>
            </w:r>
            <w:r w:rsidRPr="00572DD2">
              <w:rPr>
                <w:color w:val="333333"/>
                <w:spacing w:val="-4"/>
                <w:sz w:val="21"/>
              </w:rPr>
              <w:t xml:space="preserve"> </w:t>
            </w:r>
            <w:r w:rsidRPr="00572DD2">
              <w:rPr>
                <w:color w:val="333333"/>
                <w:sz w:val="21"/>
              </w:rPr>
              <w:t>charges</w:t>
            </w:r>
            <w:r w:rsidRPr="00572DD2">
              <w:rPr>
                <w:color w:val="333333"/>
                <w:spacing w:val="-7"/>
                <w:sz w:val="21"/>
              </w:rPr>
              <w:t xml:space="preserve"> </w:t>
            </w:r>
            <w:r w:rsidRPr="00572DD2">
              <w:rPr>
                <w:color w:val="333333"/>
                <w:sz w:val="21"/>
              </w:rPr>
              <w:t>and</w:t>
            </w:r>
            <w:r w:rsidRPr="00572DD2">
              <w:rPr>
                <w:color w:val="333333"/>
                <w:spacing w:val="-3"/>
                <w:sz w:val="21"/>
              </w:rPr>
              <w:t xml:space="preserve"> </w:t>
            </w:r>
            <w:r w:rsidRPr="00572DD2">
              <w:rPr>
                <w:color w:val="333333"/>
                <w:sz w:val="21"/>
              </w:rPr>
              <w:t>was</w:t>
            </w:r>
            <w:r w:rsidRPr="00572DD2">
              <w:rPr>
                <w:color w:val="333333"/>
                <w:spacing w:val="-5"/>
                <w:sz w:val="21"/>
              </w:rPr>
              <w:t xml:space="preserve"> </w:t>
            </w:r>
            <w:r w:rsidRPr="00572DD2">
              <w:rPr>
                <w:color w:val="333333"/>
                <w:spacing w:val="-2"/>
                <w:sz w:val="21"/>
              </w:rPr>
              <w:t>fined</w:t>
            </w:r>
          </w:p>
          <w:p w14:paraId="7F74B5E2" w14:textId="67E5FB81" w:rsidR="001B2FC4" w:rsidRPr="00572DD2" w:rsidRDefault="002B2CA7">
            <w:pPr>
              <w:pStyle w:val="TableParagraph"/>
              <w:spacing w:before="0" w:line="242" w:lineRule="exact"/>
              <w:ind w:left="181" w:right="133"/>
              <w:rPr>
                <w:sz w:val="21"/>
              </w:rPr>
            </w:pPr>
            <w:r w:rsidRPr="00572DD2">
              <w:rPr>
                <w:color w:val="333333"/>
                <w:sz w:val="21"/>
              </w:rPr>
              <w:t>$</w:t>
            </w:r>
            <w:r w:rsidR="00572DD2" w:rsidRPr="00572DD2">
              <w:rPr>
                <w:color w:val="333333"/>
                <w:sz w:val="21"/>
              </w:rPr>
              <w:t>34,500</w:t>
            </w:r>
            <w:r w:rsidRPr="00572DD2">
              <w:rPr>
                <w:color w:val="333333"/>
                <w:spacing w:val="-5"/>
                <w:sz w:val="21"/>
              </w:rPr>
              <w:t xml:space="preserve"> </w:t>
            </w:r>
            <w:r w:rsidRPr="00572DD2">
              <w:rPr>
                <w:color w:val="333333"/>
                <w:sz w:val="21"/>
              </w:rPr>
              <w:t>for</w:t>
            </w:r>
            <w:r w:rsidRPr="00572DD2">
              <w:rPr>
                <w:color w:val="333333"/>
                <w:spacing w:val="-5"/>
                <w:sz w:val="21"/>
              </w:rPr>
              <w:t xml:space="preserve"> </w:t>
            </w:r>
            <w:r w:rsidRPr="00572DD2">
              <w:rPr>
                <w:color w:val="333333"/>
                <w:sz w:val="21"/>
              </w:rPr>
              <w:t>the</w:t>
            </w:r>
            <w:r w:rsidRPr="00572DD2">
              <w:rPr>
                <w:color w:val="333333"/>
                <w:spacing w:val="-3"/>
                <w:sz w:val="21"/>
              </w:rPr>
              <w:t xml:space="preserve"> </w:t>
            </w:r>
            <w:r w:rsidRPr="00572DD2">
              <w:rPr>
                <w:color w:val="333333"/>
                <w:sz w:val="21"/>
              </w:rPr>
              <w:t>combined</w:t>
            </w:r>
            <w:r w:rsidRPr="00572DD2">
              <w:rPr>
                <w:color w:val="333333"/>
                <w:spacing w:val="-5"/>
                <w:sz w:val="21"/>
              </w:rPr>
              <w:t xml:space="preserve"> </w:t>
            </w:r>
            <w:r w:rsidRPr="00572DD2">
              <w:rPr>
                <w:color w:val="333333"/>
                <w:sz w:val="21"/>
              </w:rPr>
              <w:t>charges</w:t>
            </w:r>
            <w:r w:rsidRPr="00572DD2">
              <w:rPr>
                <w:color w:val="333333"/>
                <w:spacing w:val="-5"/>
                <w:sz w:val="21"/>
              </w:rPr>
              <w:t xml:space="preserve"> </w:t>
            </w:r>
            <w:r w:rsidRPr="00572DD2">
              <w:rPr>
                <w:color w:val="333333"/>
                <w:sz w:val="21"/>
              </w:rPr>
              <w:t>and</w:t>
            </w:r>
            <w:r w:rsidRPr="00572DD2">
              <w:rPr>
                <w:color w:val="333333"/>
                <w:spacing w:val="-5"/>
                <w:sz w:val="21"/>
              </w:rPr>
              <w:t xml:space="preserve"> </w:t>
            </w:r>
            <w:r w:rsidRPr="00572DD2">
              <w:rPr>
                <w:color w:val="333333"/>
                <w:sz w:val="21"/>
              </w:rPr>
              <w:t>$</w:t>
            </w:r>
            <w:r w:rsidR="00572DD2" w:rsidRPr="00572DD2">
              <w:rPr>
                <w:color w:val="333333"/>
                <w:sz w:val="21"/>
              </w:rPr>
              <w:t>3,000</w:t>
            </w:r>
            <w:r w:rsidRPr="00572DD2">
              <w:rPr>
                <w:color w:val="333333"/>
                <w:spacing w:val="-3"/>
                <w:sz w:val="21"/>
              </w:rPr>
              <w:t xml:space="preserve"> </w:t>
            </w:r>
            <w:r w:rsidRPr="00572DD2">
              <w:rPr>
                <w:color w:val="333333"/>
                <w:sz w:val="21"/>
              </w:rPr>
              <w:t>costs.</w:t>
            </w:r>
            <w:r w:rsidRPr="00572DD2">
              <w:rPr>
                <w:color w:val="333333"/>
                <w:spacing w:val="-5"/>
                <w:sz w:val="21"/>
              </w:rPr>
              <w:t xml:space="preserve"> </w:t>
            </w:r>
            <w:r w:rsidRPr="00572DD2">
              <w:rPr>
                <w:color w:val="333333"/>
                <w:sz w:val="21"/>
              </w:rPr>
              <w:t>No conviction was recorded.</w:t>
            </w:r>
          </w:p>
        </w:tc>
      </w:tr>
    </w:tbl>
    <w:p w14:paraId="36E62A0D" w14:textId="77777777" w:rsidR="00D917FA" w:rsidRDefault="00D917FA"/>
    <w:sectPr w:rsidR="00D917FA">
      <w:type w:val="continuous"/>
      <w:pgSz w:w="11910" w:h="16840"/>
      <w:pgMar w:top="192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E1795"/>
    <w:multiLevelType w:val="hybridMultilevel"/>
    <w:tmpl w:val="EB5A7ADA"/>
    <w:lvl w:ilvl="0" w:tplc="912E15BA">
      <w:start w:val="1"/>
      <w:numFmt w:val="lowerLetter"/>
      <w:lvlText w:val="(%1)"/>
      <w:lvlJc w:val="left"/>
      <w:pPr>
        <w:ind w:left="81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1" w:tplc="DF52CD76">
      <w:numFmt w:val="bullet"/>
      <w:lvlText w:val="•"/>
      <w:lvlJc w:val="left"/>
      <w:pPr>
        <w:ind w:left="1380" w:hanging="569"/>
      </w:pPr>
      <w:rPr>
        <w:rFonts w:hint="default"/>
        <w:lang w:val="en-US" w:eastAsia="en-US" w:bidi="ar-SA"/>
      </w:rPr>
    </w:lvl>
    <w:lvl w:ilvl="2" w:tplc="C4208762">
      <w:numFmt w:val="bullet"/>
      <w:lvlText w:val="•"/>
      <w:lvlJc w:val="left"/>
      <w:pPr>
        <w:ind w:left="1940" w:hanging="569"/>
      </w:pPr>
      <w:rPr>
        <w:rFonts w:hint="default"/>
        <w:lang w:val="en-US" w:eastAsia="en-US" w:bidi="ar-SA"/>
      </w:rPr>
    </w:lvl>
    <w:lvl w:ilvl="3" w:tplc="49C8E428">
      <w:numFmt w:val="bullet"/>
      <w:lvlText w:val="•"/>
      <w:lvlJc w:val="left"/>
      <w:pPr>
        <w:ind w:left="2500" w:hanging="569"/>
      </w:pPr>
      <w:rPr>
        <w:rFonts w:hint="default"/>
        <w:lang w:val="en-US" w:eastAsia="en-US" w:bidi="ar-SA"/>
      </w:rPr>
    </w:lvl>
    <w:lvl w:ilvl="4" w:tplc="53766CE6">
      <w:numFmt w:val="bullet"/>
      <w:lvlText w:val="•"/>
      <w:lvlJc w:val="left"/>
      <w:pPr>
        <w:ind w:left="3060" w:hanging="569"/>
      </w:pPr>
      <w:rPr>
        <w:rFonts w:hint="default"/>
        <w:lang w:val="en-US" w:eastAsia="en-US" w:bidi="ar-SA"/>
      </w:rPr>
    </w:lvl>
    <w:lvl w:ilvl="5" w:tplc="2AD44E36">
      <w:numFmt w:val="bullet"/>
      <w:lvlText w:val="•"/>
      <w:lvlJc w:val="left"/>
      <w:pPr>
        <w:ind w:left="3621" w:hanging="569"/>
      </w:pPr>
      <w:rPr>
        <w:rFonts w:hint="default"/>
        <w:lang w:val="en-US" w:eastAsia="en-US" w:bidi="ar-SA"/>
      </w:rPr>
    </w:lvl>
    <w:lvl w:ilvl="6" w:tplc="F8208BBE">
      <w:numFmt w:val="bullet"/>
      <w:lvlText w:val="•"/>
      <w:lvlJc w:val="left"/>
      <w:pPr>
        <w:ind w:left="4181" w:hanging="569"/>
      </w:pPr>
      <w:rPr>
        <w:rFonts w:hint="default"/>
        <w:lang w:val="en-US" w:eastAsia="en-US" w:bidi="ar-SA"/>
      </w:rPr>
    </w:lvl>
    <w:lvl w:ilvl="7" w:tplc="8F8450B0">
      <w:numFmt w:val="bullet"/>
      <w:lvlText w:val="•"/>
      <w:lvlJc w:val="left"/>
      <w:pPr>
        <w:ind w:left="4741" w:hanging="569"/>
      </w:pPr>
      <w:rPr>
        <w:rFonts w:hint="default"/>
        <w:lang w:val="en-US" w:eastAsia="en-US" w:bidi="ar-SA"/>
      </w:rPr>
    </w:lvl>
    <w:lvl w:ilvl="8" w:tplc="DC08D0DC">
      <w:numFmt w:val="bullet"/>
      <w:lvlText w:val="•"/>
      <w:lvlJc w:val="left"/>
      <w:pPr>
        <w:ind w:left="5301" w:hanging="5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FC4"/>
    <w:rsid w:val="000873F7"/>
    <w:rsid w:val="001B2FC4"/>
    <w:rsid w:val="002B06F9"/>
    <w:rsid w:val="002B2CA7"/>
    <w:rsid w:val="00572DD2"/>
    <w:rsid w:val="00AD04A2"/>
    <w:rsid w:val="00D917FA"/>
    <w:rsid w:val="00D9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1038"/>
  <w15:docId w15:val="{9BA1C3C7-0733-40BC-B024-B3482DD9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6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2025-05-19T22:56:30+00:00</PPModeratedDate>
    <PPLastReviewedDate xmlns="687c0ba5-25f6-467d-a8e9-4285ca7a69ae">2025-05-19T22:56:30+00:00</PPLastReviewedDate>
    <PPModeratedBy xmlns="687c0ba5-25f6-467d-a8e9-4285ca7a69ae">
      <UserInfo>
        <DisplayName>DELIZO, Dan</DisplayName>
        <AccountId>21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ECBC5737-B2EF-4663-B6CC-FFAF90809C8E}"/>
</file>

<file path=customXml/itemProps2.xml><?xml version="1.0" encoding="utf-8"?>
<ds:datastoreItem xmlns:ds="http://schemas.openxmlformats.org/officeDocument/2006/customXml" ds:itemID="{BA2A55A2-658A-48C0-A47E-95A1339420B8}"/>
</file>

<file path=customXml/itemProps3.xml><?xml version="1.0" encoding="utf-8"?>
<ds:datastoreItem xmlns:ds="http://schemas.openxmlformats.org/officeDocument/2006/customXml" ds:itemID="{9B6C3B92-899E-433E-B2D2-DB7543CBCC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- 23 464448  Publication - Prosecution of Genius Learning Pty Ltd.DOCX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 - Grans &amp; Co. fined $34,500 for multiple incidents</dc:title>
  <dc:creator>Queenland Government</dc:creator>
  <dcterms:created xsi:type="dcterms:W3CDTF">2024-01-30T22:28:00Z</dcterms:created>
  <dcterms:modified xsi:type="dcterms:W3CDTF">2024-02-14T03:03:00Z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2024-01-30T00:00:00Z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0x01010053A9ED383340B141B424EE441194D85C</vt:lpwstr>
  </property>
</Properties>
</file>