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9" w:type="dxa"/>
        <w:tblBorders>
          <w:top w:val="double" w:sz="6" w:space="0" w:color="EFEFEF"/>
          <w:left w:val="double" w:sz="6" w:space="0" w:color="EFEFEF"/>
          <w:bottom w:val="double" w:sz="6" w:space="0" w:color="EFEFEF"/>
          <w:right w:val="double" w:sz="6" w:space="0" w:color="EFEFEF"/>
          <w:insideH w:val="double" w:sz="6" w:space="0" w:color="EFEFEF"/>
          <w:insideV w:val="doub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2345"/>
        <w:gridCol w:w="4107"/>
      </w:tblGrid>
      <w:tr w:rsidR="0068780D" w14:paraId="28C0A68E" w14:textId="77777777">
        <w:trPr>
          <w:trHeight w:val="256"/>
        </w:trPr>
        <w:tc>
          <w:tcPr>
            <w:tcW w:w="8989" w:type="dxa"/>
            <w:gridSpan w:val="3"/>
            <w:tcBorders>
              <w:left w:val="double" w:sz="6" w:space="0" w:color="A0A0A0"/>
            </w:tcBorders>
            <w:shd w:val="clear" w:color="auto" w:fill="CCCCCC"/>
          </w:tcPr>
          <w:p w14:paraId="6F519B53" w14:textId="77777777" w:rsidR="0068780D" w:rsidRDefault="00C5052E">
            <w:pPr>
              <w:pStyle w:val="TableParagraph"/>
              <w:spacing w:before="12" w:line="224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68780D" w14:paraId="3667E697" w14:textId="77777777">
        <w:trPr>
          <w:trHeight w:val="331"/>
        </w:trPr>
        <w:tc>
          <w:tcPr>
            <w:tcW w:w="2537" w:type="dxa"/>
            <w:vMerge w:val="restart"/>
            <w:tcBorders>
              <w:left w:val="double" w:sz="6" w:space="0" w:color="A0A0A0"/>
              <w:right w:val="single" w:sz="6" w:space="0" w:color="EFEFEF"/>
            </w:tcBorders>
            <w:shd w:val="clear" w:color="auto" w:fill="E6E6E6"/>
          </w:tcPr>
          <w:p w14:paraId="01C2628B" w14:textId="77777777" w:rsidR="0068780D" w:rsidRDefault="00C5052E">
            <w:pPr>
              <w:pStyle w:val="TableParagraph"/>
              <w:spacing w:before="10"/>
              <w:ind w:left="147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</w:p>
          <w:p w14:paraId="194B1084" w14:textId="77777777" w:rsidR="0068780D" w:rsidRDefault="00C5052E">
            <w:pPr>
              <w:pStyle w:val="TableParagraph"/>
              <w:spacing w:before="1"/>
              <w:ind w:left="507" w:right="298"/>
              <w:jc w:val="both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gramStart"/>
            <w:r>
              <w:rPr>
                <w:sz w:val="20"/>
              </w:rPr>
              <w:t>entity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enforcement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action </w:t>
            </w:r>
            <w:r>
              <w:rPr>
                <w:spacing w:val="-2"/>
                <w:sz w:val="20"/>
              </w:rPr>
              <w:t>relates</w:t>
            </w:r>
          </w:p>
        </w:tc>
        <w:tc>
          <w:tcPr>
            <w:tcW w:w="2345" w:type="dxa"/>
            <w:tcBorders>
              <w:left w:val="single" w:sz="6" w:space="0" w:color="EFEFEF"/>
              <w:right w:val="single" w:sz="6" w:space="0" w:color="EFEFEF"/>
            </w:tcBorders>
            <w:shd w:val="clear" w:color="auto" w:fill="D8D8D8"/>
          </w:tcPr>
          <w:p w14:paraId="6FC55D43" w14:textId="77777777" w:rsidR="0068780D" w:rsidRDefault="00C5052E">
            <w:pPr>
              <w:pStyle w:val="TableParagraph"/>
              <w:spacing w:before="11"/>
            </w:pPr>
            <w:r>
              <w:t>Approved</w:t>
            </w:r>
            <w:r>
              <w:rPr>
                <w:spacing w:val="-2"/>
              </w:rPr>
              <w:t xml:space="preserve"> Provider</w:t>
            </w:r>
          </w:p>
        </w:tc>
        <w:tc>
          <w:tcPr>
            <w:tcW w:w="4107" w:type="dxa"/>
            <w:tcBorders>
              <w:left w:val="single" w:sz="6" w:space="0" w:color="EFEFEF"/>
            </w:tcBorders>
          </w:tcPr>
          <w:p w14:paraId="0197C4DC" w14:textId="4511241E" w:rsidR="0068780D" w:rsidRDefault="00B65590">
            <w:pPr>
              <w:pStyle w:val="TableParagraph"/>
              <w:spacing w:before="11"/>
              <w:ind w:left="170"/>
            </w:pPr>
            <w:proofErr w:type="spellStart"/>
            <w:r>
              <w:t>Oakhaul</w:t>
            </w:r>
            <w:proofErr w:type="spellEnd"/>
            <w:r w:rsidR="00C5052E">
              <w:rPr>
                <w:spacing w:val="-6"/>
              </w:rPr>
              <w:t xml:space="preserve"> </w:t>
            </w:r>
            <w:r w:rsidR="00C5052E">
              <w:t>Proprietary</w:t>
            </w:r>
            <w:r w:rsidR="00C5052E">
              <w:rPr>
                <w:spacing w:val="-6"/>
              </w:rPr>
              <w:t xml:space="preserve"> </w:t>
            </w:r>
            <w:r w:rsidR="00C5052E">
              <w:rPr>
                <w:spacing w:val="-2"/>
              </w:rPr>
              <w:t>Limited</w:t>
            </w:r>
          </w:p>
        </w:tc>
      </w:tr>
      <w:tr w:rsidR="0068780D" w14:paraId="6A29C7AA" w14:textId="77777777">
        <w:trPr>
          <w:trHeight w:val="334"/>
        </w:trPr>
        <w:tc>
          <w:tcPr>
            <w:tcW w:w="2537" w:type="dxa"/>
            <w:vMerge/>
            <w:tcBorders>
              <w:top w:val="nil"/>
              <w:left w:val="double" w:sz="6" w:space="0" w:color="A0A0A0"/>
              <w:right w:val="single" w:sz="6" w:space="0" w:color="EFEFEF"/>
            </w:tcBorders>
            <w:shd w:val="clear" w:color="auto" w:fill="E6E6E6"/>
          </w:tcPr>
          <w:p w14:paraId="4B061150" w14:textId="77777777" w:rsidR="0068780D" w:rsidRDefault="0068780D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left w:val="single" w:sz="6" w:space="0" w:color="EFEFEF"/>
              <w:right w:val="single" w:sz="6" w:space="0" w:color="EFEFEF"/>
            </w:tcBorders>
            <w:shd w:val="clear" w:color="auto" w:fill="D8D8D8"/>
          </w:tcPr>
          <w:p w14:paraId="42D302ED" w14:textId="77777777" w:rsidR="0068780D" w:rsidRDefault="00C5052E">
            <w:pPr>
              <w:pStyle w:val="TableParagraph"/>
            </w:pPr>
            <w:r>
              <w:t>Service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  <w:tc>
          <w:tcPr>
            <w:tcW w:w="4107" w:type="dxa"/>
            <w:tcBorders>
              <w:left w:val="single" w:sz="6" w:space="0" w:color="EFEFEF"/>
            </w:tcBorders>
          </w:tcPr>
          <w:p w14:paraId="34242846" w14:textId="77777777" w:rsidR="0068780D" w:rsidRDefault="00C5052E">
            <w:pPr>
              <w:pStyle w:val="TableParagraph"/>
            </w:pPr>
            <w:r>
              <w:t>Centre</w:t>
            </w:r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68780D" w14:paraId="008F57CD" w14:textId="77777777">
        <w:trPr>
          <w:trHeight w:val="331"/>
        </w:trPr>
        <w:tc>
          <w:tcPr>
            <w:tcW w:w="2537" w:type="dxa"/>
            <w:vMerge/>
            <w:tcBorders>
              <w:top w:val="nil"/>
              <w:left w:val="double" w:sz="6" w:space="0" w:color="A0A0A0"/>
              <w:right w:val="single" w:sz="6" w:space="0" w:color="EFEFEF"/>
            </w:tcBorders>
            <w:shd w:val="clear" w:color="auto" w:fill="E6E6E6"/>
          </w:tcPr>
          <w:p w14:paraId="5FDDB479" w14:textId="77777777" w:rsidR="0068780D" w:rsidRDefault="0068780D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left w:val="single" w:sz="6" w:space="0" w:color="EFEFEF"/>
              <w:right w:val="single" w:sz="6" w:space="0" w:color="EFEFEF"/>
            </w:tcBorders>
            <w:shd w:val="clear" w:color="auto" w:fill="D8D8D8"/>
          </w:tcPr>
          <w:p w14:paraId="57617F7D" w14:textId="77777777" w:rsidR="0068780D" w:rsidRDefault="00C5052E">
            <w:pPr>
              <w:pStyle w:val="TableParagraph"/>
              <w:spacing w:before="11"/>
            </w:pPr>
            <w:r>
              <w:t>Service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4107" w:type="dxa"/>
            <w:tcBorders>
              <w:left w:val="single" w:sz="6" w:space="0" w:color="EFEFEF"/>
            </w:tcBorders>
          </w:tcPr>
          <w:p w14:paraId="5264D013" w14:textId="7DC0A725" w:rsidR="0068780D" w:rsidRDefault="00B65590">
            <w:pPr>
              <w:pStyle w:val="TableParagraph"/>
              <w:spacing w:before="11"/>
              <w:ind w:left="170"/>
            </w:pPr>
            <w:r>
              <w:t>Little Champions Child Care</w:t>
            </w:r>
          </w:p>
        </w:tc>
      </w:tr>
      <w:tr w:rsidR="0068780D" w14:paraId="4E7C0DCA" w14:textId="77777777">
        <w:trPr>
          <w:trHeight w:val="602"/>
        </w:trPr>
        <w:tc>
          <w:tcPr>
            <w:tcW w:w="2537" w:type="dxa"/>
            <w:tcBorders>
              <w:left w:val="double" w:sz="6" w:space="0" w:color="A0A0A0"/>
              <w:right w:val="single" w:sz="6" w:space="0" w:color="EFEFEF"/>
            </w:tcBorders>
            <w:shd w:val="clear" w:color="auto" w:fill="E6E6E6"/>
          </w:tcPr>
          <w:p w14:paraId="1628005C" w14:textId="77777777" w:rsidR="0068780D" w:rsidRDefault="00C5052E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address</w:t>
            </w:r>
          </w:p>
        </w:tc>
        <w:tc>
          <w:tcPr>
            <w:tcW w:w="6452" w:type="dxa"/>
            <w:gridSpan w:val="2"/>
            <w:tcBorders>
              <w:left w:val="single" w:sz="6" w:space="0" w:color="EFEFEF"/>
            </w:tcBorders>
          </w:tcPr>
          <w:p w14:paraId="17A27555" w14:textId="724B18E3" w:rsidR="0068780D" w:rsidRDefault="00B65590">
            <w:pPr>
              <w:pStyle w:val="TableParagraph"/>
            </w:pPr>
            <w:r>
              <w:t>35-37 York Street, Oakey</w:t>
            </w:r>
          </w:p>
        </w:tc>
      </w:tr>
      <w:tr w:rsidR="0068780D" w14:paraId="0ECC0695" w14:textId="77777777">
        <w:trPr>
          <w:trHeight w:val="600"/>
        </w:trPr>
        <w:tc>
          <w:tcPr>
            <w:tcW w:w="2537" w:type="dxa"/>
            <w:tcBorders>
              <w:left w:val="double" w:sz="6" w:space="0" w:color="A0A0A0"/>
              <w:right w:val="single" w:sz="6" w:space="0" w:color="EFEFEF"/>
            </w:tcBorders>
            <w:shd w:val="clear" w:color="auto" w:fill="E6E6E6"/>
          </w:tcPr>
          <w:p w14:paraId="0829E0A8" w14:textId="77777777" w:rsidR="0068780D" w:rsidRDefault="00C5052E">
            <w:pPr>
              <w:pStyle w:val="TableParagraph"/>
              <w:spacing w:before="10"/>
              <w:ind w:left="14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499C35CB" w14:textId="77777777" w:rsidR="0068780D" w:rsidRDefault="00C5052E">
            <w:pPr>
              <w:pStyle w:val="TableParagraph"/>
              <w:spacing w:before="1"/>
              <w:ind w:left="507"/>
              <w:rPr>
                <w:sz w:val="20"/>
              </w:rPr>
            </w:pPr>
            <w:r>
              <w:rPr>
                <w:sz w:val="20"/>
              </w:rPr>
              <w:t>Enforcement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Action</w:t>
            </w:r>
          </w:p>
        </w:tc>
        <w:tc>
          <w:tcPr>
            <w:tcW w:w="6452" w:type="dxa"/>
            <w:gridSpan w:val="2"/>
            <w:tcBorders>
              <w:left w:val="single" w:sz="6" w:space="0" w:color="EFEFEF"/>
            </w:tcBorders>
          </w:tcPr>
          <w:p w14:paraId="08C87F65" w14:textId="77777777" w:rsidR="0068780D" w:rsidRDefault="00C5052E">
            <w:pPr>
              <w:pStyle w:val="TableParagraph"/>
              <w:spacing w:before="11"/>
            </w:pPr>
            <w:r>
              <w:rPr>
                <w:spacing w:val="-2"/>
              </w:rPr>
              <w:t>Prosecution</w:t>
            </w:r>
          </w:p>
        </w:tc>
      </w:tr>
      <w:tr w:rsidR="0068780D" w14:paraId="7705CC2A" w14:textId="77777777" w:rsidTr="00B76F3E">
        <w:trPr>
          <w:trHeight w:val="106"/>
        </w:trPr>
        <w:tc>
          <w:tcPr>
            <w:tcW w:w="2537" w:type="dxa"/>
            <w:tcBorders>
              <w:left w:val="double" w:sz="6" w:space="0" w:color="A0A0A0"/>
              <w:right w:val="single" w:sz="6" w:space="0" w:color="EFEFEF"/>
            </w:tcBorders>
            <w:shd w:val="clear" w:color="auto" w:fill="E6E6E6"/>
          </w:tcPr>
          <w:p w14:paraId="44254125" w14:textId="55CE4152" w:rsidR="0068780D" w:rsidRDefault="00C5052E">
            <w:pPr>
              <w:pStyle w:val="TableParagraph"/>
              <w:ind w:left="507" w:right="65" w:hanging="3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Reason for </w:t>
            </w:r>
            <w:r w:rsidR="00B76F3E">
              <w:rPr>
                <w:sz w:val="20"/>
              </w:rPr>
              <w:t>P</w:t>
            </w:r>
            <w:r>
              <w:rPr>
                <w:spacing w:val="-2"/>
                <w:sz w:val="20"/>
              </w:rPr>
              <w:t>rosecution</w:t>
            </w:r>
          </w:p>
        </w:tc>
        <w:tc>
          <w:tcPr>
            <w:tcW w:w="6452" w:type="dxa"/>
            <w:gridSpan w:val="2"/>
            <w:tcBorders>
              <w:left w:val="single" w:sz="6" w:space="0" w:color="EFEFEF"/>
            </w:tcBorders>
          </w:tcPr>
          <w:p w14:paraId="56849507" w14:textId="422510B4" w:rsidR="00B65590" w:rsidRDefault="00B65590">
            <w:pPr>
              <w:pStyle w:val="TableParagraph"/>
            </w:pPr>
            <w:r>
              <w:t>Between 17 November 2020 and 5 May 2022</w:t>
            </w:r>
            <w:r w:rsidR="00B81D92">
              <w:t>,</w:t>
            </w:r>
            <w:r>
              <w:t xml:space="preserve"> </w:t>
            </w:r>
            <w:r w:rsidR="00B81D92">
              <w:t xml:space="preserve">Regulatory Officers conducted </w:t>
            </w:r>
            <w:r>
              <w:t xml:space="preserve">a number </w:t>
            </w:r>
            <w:r w:rsidR="00A20C52">
              <w:t xml:space="preserve">of </w:t>
            </w:r>
            <w:r>
              <w:t xml:space="preserve">visits </w:t>
            </w:r>
            <w:r w:rsidR="00C5052E">
              <w:t xml:space="preserve">at </w:t>
            </w:r>
            <w:r>
              <w:t>Little Champions Child Care</w:t>
            </w:r>
            <w:r w:rsidR="00065F43">
              <w:t xml:space="preserve"> </w:t>
            </w:r>
            <w:r w:rsidR="00A20C52">
              <w:t xml:space="preserve">which </w:t>
            </w:r>
            <w:r>
              <w:t xml:space="preserve">identified </w:t>
            </w:r>
            <w:r w:rsidR="004B36A6">
              <w:t>multiple</w:t>
            </w:r>
            <w:r>
              <w:t xml:space="preserve"> breaches of the National Law and Nation</w:t>
            </w:r>
            <w:r w:rsidR="009274FB">
              <w:t>al</w:t>
            </w:r>
            <w:r>
              <w:t xml:space="preserve"> Regulations.</w:t>
            </w:r>
          </w:p>
          <w:p w14:paraId="6D94E26B" w14:textId="03BF0601" w:rsidR="00B65590" w:rsidRDefault="00B65590">
            <w:pPr>
              <w:pStyle w:val="TableParagraph"/>
            </w:pPr>
          </w:p>
          <w:p w14:paraId="0D2E8D3F" w14:textId="281F053F" w:rsidR="00C5052E" w:rsidRDefault="00B65590" w:rsidP="00C5052E">
            <w:pPr>
              <w:pStyle w:val="TableParagraph"/>
            </w:pPr>
            <w:r>
              <w:t>The Approved Provider pleaded guilty to</w:t>
            </w:r>
            <w:r w:rsidR="004D4BDC">
              <w:t xml:space="preserve"> 16 charges, </w:t>
            </w:r>
            <w:r>
              <w:t>contravening:</w:t>
            </w:r>
          </w:p>
          <w:p w14:paraId="7E2B929B" w14:textId="624D5CAF" w:rsidR="00C5052E" w:rsidRDefault="00C5052E" w:rsidP="00C5052E">
            <w:pPr>
              <w:pStyle w:val="TableParagraph"/>
            </w:pPr>
          </w:p>
          <w:p w14:paraId="705C3089" w14:textId="064478C9" w:rsidR="00C5052E" w:rsidRDefault="00C5052E" w:rsidP="00C5052E">
            <w:pPr>
              <w:pStyle w:val="TableParagraph"/>
              <w:spacing w:before="0"/>
              <w:ind w:left="547" w:hanging="377"/>
            </w:pPr>
            <w:r>
              <w:t xml:space="preserve">(a) </w:t>
            </w:r>
            <w:r w:rsidR="00A20C52">
              <w:t xml:space="preserve"> </w:t>
            </w:r>
            <w:r w:rsidR="009274FB">
              <w:t>Section 51(8) of the National Law – must comply with the conditions of a service approval held by the approved provider</w:t>
            </w:r>
            <w:r w:rsidR="00D5192B">
              <w:t>;</w:t>
            </w:r>
          </w:p>
          <w:p w14:paraId="27306F5E" w14:textId="77777777" w:rsidR="00C5052E" w:rsidRDefault="00C5052E" w:rsidP="00C5052E">
            <w:pPr>
              <w:pStyle w:val="TableParagraph"/>
              <w:spacing w:before="0"/>
              <w:ind w:left="547" w:hanging="377"/>
            </w:pPr>
          </w:p>
          <w:p w14:paraId="44122DD0" w14:textId="157D389A" w:rsidR="00C5052E" w:rsidRDefault="00C5052E" w:rsidP="00C5052E">
            <w:pPr>
              <w:pStyle w:val="TableParagraph"/>
              <w:spacing w:before="0"/>
              <w:ind w:left="547" w:hanging="377"/>
            </w:pPr>
            <w:r>
              <w:t xml:space="preserve">(b) </w:t>
            </w:r>
            <w:r w:rsidR="00A20C52">
              <w:t xml:space="preserve"> </w:t>
            </w:r>
            <w:r w:rsidR="00B65590">
              <w:t xml:space="preserve">Section 167(1) of the National Law – ensure that every reasonable precaution </w:t>
            </w:r>
            <w:r w:rsidR="004D5B74">
              <w:t>i</w:t>
            </w:r>
            <w:r w:rsidR="00B65590">
              <w:t>s taken to protect children from harm or from any hazard likely to cause injury</w:t>
            </w:r>
            <w:r w:rsidR="00D5192B">
              <w:t>;</w:t>
            </w:r>
          </w:p>
          <w:p w14:paraId="71DDD807" w14:textId="77777777" w:rsidR="00C5052E" w:rsidRDefault="00C5052E" w:rsidP="00C5052E">
            <w:pPr>
              <w:pStyle w:val="TableParagraph"/>
              <w:spacing w:before="0"/>
              <w:ind w:left="547" w:hanging="377"/>
            </w:pPr>
          </w:p>
          <w:p w14:paraId="1D685C31" w14:textId="54DB3FD1" w:rsidR="00C5052E" w:rsidRDefault="00C626DB" w:rsidP="00C5052E">
            <w:pPr>
              <w:pStyle w:val="TableParagraph"/>
              <w:spacing w:before="0"/>
              <w:ind w:left="547" w:hanging="377"/>
            </w:pPr>
            <w:r>
              <w:t>(c)</w:t>
            </w:r>
            <w:r w:rsidR="009274FB">
              <w:t xml:space="preserve"> </w:t>
            </w:r>
            <w:r w:rsidR="00A20C52">
              <w:t xml:space="preserve"> </w:t>
            </w:r>
            <w:r w:rsidR="009274FB">
              <w:t>Section 168(1) of the National Law – ensure that a program delivered to all child is based on an approved learning framework and the developmental needs, interests and experiences of each child</w:t>
            </w:r>
            <w:r w:rsidR="00D5192B">
              <w:t>;</w:t>
            </w:r>
          </w:p>
          <w:p w14:paraId="36613C7A" w14:textId="77777777" w:rsidR="00C5052E" w:rsidRDefault="00C5052E" w:rsidP="00C5052E">
            <w:pPr>
              <w:pStyle w:val="TableParagraph"/>
              <w:spacing w:before="0"/>
              <w:ind w:left="547" w:hanging="377"/>
            </w:pPr>
          </w:p>
          <w:p w14:paraId="4E5A7300" w14:textId="7A2C1AFA" w:rsidR="00C5052E" w:rsidRDefault="009274FB" w:rsidP="00C5052E">
            <w:pPr>
              <w:pStyle w:val="TableParagraph"/>
              <w:spacing w:before="0"/>
              <w:ind w:left="547" w:hanging="377"/>
            </w:pPr>
            <w:r>
              <w:t>(</w:t>
            </w:r>
            <w:r w:rsidR="00C626DB">
              <w:t>d</w:t>
            </w:r>
            <w:r>
              <w:t xml:space="preserve">) </w:t>
            </w:r>
            <w:r w:rsidR="00A20C52">
              <w:t xml:space="preserve"> </w:t>
            </w:r>
            <w:r>
              <w:t>Section 177(3) of the National Law – must comply with a compliance notice within the period specified in the notice</w:t>
            </w:r>
            <w:r w:rsidR="00D5192B">
              <w:t>;</w:t>
            </w:r>
          </w:p>
          <w:p w14:paraId="6E5E1C45" w14:textId="77777777" w:rsidR="00C5052E" w:rsidRDefault="00C5052E" w:rsidP="00C5052E">
            <w:pPr>
              <w:pStyle w:val="TableParagraph"/>
              <w:spacing w:before="0"/>
              <w:ind w:left="547" w:hanging="377"/>
            </w:pPr>
          </w:p>
          <w:p w14:paraId="31BCBD54" w14:textId="4549E087" w:rsidR="00144652" w:rsidRDefault="009274FB" w:rsidP="00C5052E">
            <w:pPr>
              <w:pStyle w:val="TableParagraph"/>
              <w:spacing w:before="0"/>
              <w:ind w:left="547" w:hanging="377"/>
            </w:pPr>
            <w:r>
              <w:t>(</w:t>
            </w:r>
            <w:r w:rsidR="00C626DB">
              <w:t>e</w:t>
            </w:r>
            <w:r>
              <w:t>)</w:t>
            </w:r>
            <w:r w:rsidR="00144652">
              <w:t xml:space="preserve">  Regulation 97(4) of the National Regulations – ensure a copy of the emergency and evacuation floor plan and instructions are displayed in a prominent position near each exit.</w:t>
            </w:r>
            <w:r>
              <w:t xml:space="preserve"> </w:t>
            </w:r>
            <w:r w:rsidR="00A20C52">
              <w:t xml:space="preserve"> </w:t>
            </w:r>
          </w:p>
          <w:p w14:paraId="3E376A18" w14:textId="6EEDE665" w:rsidR="00144652" w:rsidRDefault="00144652" w:rsidP="00C5052E">
            <w:pPr>
              <w:pStyle w:val="TableParagraph"/>
              <w:spacing w:before="0"/>
              <w:ind w:left="547" w:hanging="377"/>
            </w:pPr>
          </w:p>
          <w:p w14:paraId="63161AAB" w14:textId="1F28094C" w:rsidR="00C5052E" w:rsidRDefault="00144652" w:rsidP="00C5052E">
            <w:pPr>
              <w:pStyle w:val="TableParagraph"/>
              <w:spacing w:before="0"/>
              <w:ind w:left="547" w:hanging="377"/>
            </w:pPr>
            <w:r>
              <w:t xml:space="preserve">(f)  </w:t>
            </w:r>
            <w:r w:rsidR="009274FB">
              <w:t>Regulation 102</w:t>
            </w:r>
            <w:proofErr w:type="gramStart"/>
            <w:r w:rsidR="009274FB">
              <w:t>B</w:t>
            </w:r>
            <w:r w:rsidR="00333B8A">
              <w:t>(</w:t>
            </w:r>
            <w:proofErr w:type="gramEnd"/>
            <w:r w:rsidR="00333B8A">
              <w:t>1)</w:t>
            </w:r>
            <w:r w:rsidR="009274FB">
              <w:t xml:space="preserve"> of the National Regulations – ensure a risk assessment is carried out in accordance with regulation 102(c)</w:t>
            </w:r>
            <w:r w:rsidR="00D5192B">
              <w:t>;</w:t>
            </w:r>
          </w:p>
          <w:p w14:paraId="34740E19" w14:textId="77777777" w:rsidR="00C5052E" w:rsidRDefault="00C5052E" w:rsidP="00C5052E">
            <w:pPr>
              <w:pStyle w:val="TableParagraph"/>
              <w:spacing w:before="0"/>
              <w:ind w:left="547" w:hanging="377"/>
            </w:pPr>
          </w:p>
          <w:p w14:paraId="174DB8AE" w14:textId="4BBAF2D8" w:rsidR="00C5052E" w:rsidRDefault="009274FB" w:rsidP="00C5052E">
            <w:pPr>
              <w:pStyle w:val="TableParagraph"/>
              <w:spacing w:before="0"/>
              <w:ind w:left="547" w:hanging="377"/>
            </w:pPr>
            <w:r>
              <w:t>(</w:t>
            </w:r>
            <w:r w:rsidR="00144652">
              <w:t>g)</w:t>
            </w:r>
            <w:r>
              <w:t xml:space="preserve"> </w:t>
            </w:r>
            <w:r w:rsidR="00A20C52">
              <w:t xml:space="preserve"> </w:t>
            </w:r>
            <w:r>
              <w:t>Regulation 102</w:t>
            </w:r>
            <w:proofErr w:type="gramStart"/>
            <w:r>
              <w:t>D</w:t>
            </w:r>
            <w:r w:rsidR="00333B8A">
              <w:t>(</w:t>
            </w:r>
            <w:proofErr w:type="gramEnd"/>
            <w:r w:rsidR="00333B8A">
              <w:t>1)</w:t>
            </w:r>
            <w:r>
              <w:t xml:space="preserve"> of the National Regulations – ensure that a child is not transported by the service or on transportation arranged by the service unless written authorization has been given under </w:t>
            </w:r>
            <w:r w:rsidR="00A20C52">
              <w:t>sub regulation</w:t>
            </w:r>
            <w:r>
              <w:t xml:space="preserve"> (4)</w:t>
            </w:r>
          </w:p>
          <w:p w14:paraId="2E56596C" w14:textId="77777777" w:rsidR="00C5052E" w:rsidRDefault="00C5052E" w:rsidP="00C5052E">
            <w:pPr>
              <w:pStyle w:val="TableParagraph"/>
              <w:spacing w:before="0"/>
              <w:ind w:left="547" w:hanging="377"/>
            </w:pPr>
          </w:p>
          <w:p w14:paraId="6C34E538" w14:textId="3BFC29FA" w:rsidR="00C5052E" w:rsidRDefault="00B65590" w:rsidP="00C5052E">
            <w:pPr>
              <w:pStyle w:val="TableParagraph"/>
              <w:spacing w:before="0"/>
              <w:ind w:left="547" w:hanging="377"/>
            </w:pPr>
            <w:r>
              <w:t>(</w:t>
            </w:r>
            <w:r w:rsidR="00144652">
              <w:t>h</w:t>
            </w:r>
            <w:r>
              <w:t xml:space="preserve">) </w:t>
            </w:r>
            <w:r w:rsidR="00A20C52">
              <w:t xml:space="preserve"> </w:t>
            </w:r>
            <w:r>
              <w:t>Regulation 103(1) of the National Regulations – ensure that the service premises and all equipment and furniture used are safe, clean and in good repair</w:t>
            </w:r>
            <w:r w:rsidR="00D5192B">
              <w:t>;</w:t>
            </w:r>
            <w:r w:rsidR="0007726B">
              <w:t xml:space="preserve"> and</w:t>
            </w:r>
          </w:p>
          <w:p w14:paraId="77810545" w14:textId="77777777" w:rsidR="00C5052E" w:rsidRDefault="00C5052E" w:rsidP="00C5052E">
            <w:pPr>
              <w:pStyle w:val="TableParagraph"/>
              <w:spacing w:before="0"/>
              <w:ind w:left="547" w:hanging="377"/>
            </w:pPr>
          </w:p>
          <w:p w14:paraId="521EE1B3" w14:textId="538704D4" w:rsidR="00C5052E" w:rsidRDefault="00C626DB" w:rsidP="00C5052E">
            <w:pPr>
              <w:pStyle w:val="TableParagraph"/>
              <w:spacing w:before="0"/>
              <w:ind w:left="547" w:hanging="377"/>
            </w:pPr>
            <w:r>
              <w:t>(</w:t>
            </w:r>
            <w:proofErr w:type="spellStart"/>
            <w:r w:rsidR="00144652">
              <w:t>i</w:t>
            </w:r>
            <w:proofErr w:type="spellEnd"/>
            <w:r w:rsidR="00B65590">
              <w:t xml:space="preserve">) </w:t>
            </w:r>
            <w:r w:rsidR="00A20C52">
              <w:t xml:space="preserve"> </w:t>
            </w:r>
            <w:r w:rsidR="00B65590">
              <w:t>Regulation 104(1) of the National Regulations</w:t>
            </w:r>
            <w:r w:rsidR="00EC1890">
              <w:t xml:space="preserve"> – ensure that outdoor space is enclosed by a fence or barrier that is of a height and design that children preschool age or under</w:t>
            </w:r>
            <w:r w:rsidR="00616F89">
              <w:t xml:space="preserve"> </w:t>
            </w:r>
            <w:r w:rsidR="00EC1890">
              <w:t>cannot go through, over or under it</w:t>
            </w:r>
            <w:r w:rsidR="002A779D">
              <w:t>.</w:t>
            </w:r>
          </w:p>
          <w:p w14:paraId="1F0AA918" w14:textId="26ABC6C6" w:rsidR="00333B8A" w:rsidRPr="00333B8A" w:rsidRDefault="00333B8A" w:rsidP="00333B8A">
            <w:pPr>
              <w:tabs>
                <w:tab w:val="left" w:pos="1256"/>
              </w:tabs>
            </w:pPr>
          </w:p>
        </w:tc>
      </w:tr>
      <w:tr w:rsidR="0068780D" w14:paraId="23454A51" w14:textId="77777777">
        <w:trPr>
          <w:trHeight w:val="1018"/>
        </w:trPr>
        <w:tc>
          <w:tcPr>
            <w:tcW w:w="2537" w:type="dxa"/>
            <w:tcBorders>
              <w:left w:val="double" w:sz="6" w:space="0" w:color="A0A0A0"/>
              <w:right w:val="single" w:sz="6" w:space="0" w:color="EFEFEF"/>
            </w:tcBorders>
            <w:shd w:val="clear" w:color="auto" w:fill="E6E6E6"/>
          </w:tcPr>
          <w:p w14:paraId="34766E48" w14:textId="77777777" w:rsidR="0068780D" w:rsidRDefault="00C5052E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prosecution</w:t>
            </w:r>
          </w:p>
        </w:tc>
        <w:tc>
          <w:tcPr>
            <w:tcW w:w="6452" w:type="dxa"/>
            <w:gridSpan w:val="2"/>
            <w:tcBorders>
              <w:left w:val="single" w:sz="6" w:space="0" w:color="EFEFEF"/>
            </w:tcBorders>
          </w:tcPr>
          <w:p w14:paraId="3E717FEC" w14:textId="2ED7E6A0" w:rsidR="0068780D" w:rsidRPr="00F83091" w:rsidRDefault="00F83091">
            <w:pPr>
              <w:pStyle w:val="TableParagraph"/>
              <w:rPr>
                <w:bCs/>
              </w:rPr>
            </w:pPr>
            <w:r w:rsidRPr="00F83091">
              <w:rPr>
                <w:bCs/>
              </w:rPr>
              <w:t>14</w:t>
            </w:r>
            <w:r w:rsidR="00515112" w:rsidRPr="00F83091">
              <w:rPr>
                <w:bCs/>
              </w:rPr>
              <w:t xml:space="preserve"> February 2024</w:t>
            </w:r>
          </w:p>
        </w:tc>
      </w:tr>
      <w:tr w:rsidR="0068780D" w14:paraId="18EDD6A4" w14:textId="77777777">
        <w:trPr>
          <w:trHeight w:val="750"/>
        </w:trPr>
        <w:tc>
          <w:tcPr>
            <w:tcW w:w="2537" w:type="dxa"/>
            <w:tcBorders>
              <w:left w:val="double" w:sz="6" w:space="0" w:color="A0A0A0"/>
              <w:right w:val="single" w:sz="6" w:space="0" w:color="EFEFEF"/>
            </w:tcBorders>
            <w:shd w:val="clear" w:color="auto" w:fill="E6E6E6"/>
          </w:tcPr>
          <w:p w14:paraId="3440C724" w14:textId="77777777" w:rsidR="0068780D" w:rsidRDefault="00C5052E">
            <w:pPr>
              <w:pStyle w:val="TableParagraph"/>
              <w:ind w:left="507" w:right="65" w:hanging="36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prosecution</w:t>
            </w:r>
          </w:p>
        </w:tc>
        <w:tc>
          <w:tcPr>
            <w:tcW w:w="6452" w:type="dxa"/>
            <w:gridSpan w:val="2"/>
            <w:tcBorders>
              <w:left w:val="single" w:sz="6" w:space="0" w:color="EFEFEF"/>
            </w:tcBorders>
          </w:tcPr>
          <w:p w14:paraId="34246F05" w14:textId="01934884" w:rsidR="0068780D" w:rsidRDefault="00C5052E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333333"/>
                <w:sz w:val="21"/>
              </w:rPr>
              <w:t>The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 w:rsidR="00065F43">
              <w:rPr>
                <w:color w:val="333333"/>
                <w:sz w:val="21"/>
              </w:rPr>
              <w:t>A</w:t>
            </w:r>
            <w:r>
              <w:rPr>
                <w:color w:val="333333"/>
                <w:sz w:val="21"/>
              </w:rPr>
              <w:t>pproved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 w:rsidR="00065F43">
              <w:rPr>
                <w:color w:val="333333"/>
                <w:sz w:val="21"/>
              </w:rPr>
              <w:t>P</w:t>
            </w:r>
            <w:r>
              <w:rPr>
                <w:color w:val="333333"/>
                <w:sz w:val="21"/>
              </w:rPr>
              <w:t>rovider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pleaded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guilty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to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all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charges</w:t>
            </w:r>
            <w:r>
              <w:rPr>
                <w:color w:val="333333"/>
                <w:spacing w:val="-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and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was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fined</w:t>
            </w:r>
          </w:p>
          <w:p w14:paraId="74C3DC78" w14:textId="62B8ADB8" w:rsidR="0068780D" w:rsidRDefault="00F83091">
            <w:pPr>
              <w:pStyle w:val="TableParagraph"/>
              <w:spacing w:before="0" w:line="242" w:lineRule="exact"/>
              <w:ind w:left="181" w:right="133"/>
              <w:rPr>
                <w:sz w:val="21"/>
              </w:rPr>
            </w:pPr>
            <w:r>
              <w:rPr>
                <w:color w:val="333333"/>
                <w:sz w:val="21"/>
              </w:rPr>
              <w:t>$23,000</w:t>
            </w:r>
            <w:r w:rsidR="00C5052E">
              <w:rPr>
                <w:color w:val="333333"/>
                <w:spacing w:val="-5"/>
                <w:sz w:val="21"/>
              </w:rPr>
              <w:t xml:space="preserve"> </w:t>
            </w:r>
            <w:r w:rsidR="00C5052E">
              <w:rPr>
                <w:color w:val="333333"/>
                <w:sz w:val="21"/>
              </w:rPr>
              <w:t>for</w:t>
            </w:r>
            <w:r w:rsidR="00C5052E">
              <w:rPr>
                <w:color w:val="333333"/>
                <w:spacing w:val="-5"/>
                <w:sz w:val="21"/>
              </w:rPr>
              <w:t xml:space="preserve"> </w:t>
            </w:r>
            <w:r w:rsidR="00C5052E">
              <w:rPr>
                <w:color w:val="333333"/>
                <w:sz w:val="21"/>
              </w:rPr>
              <w:t>the</w:t>
            </w:r>
            <w:r w:rsidR="00C5052E">
              <w:rPr>
                <w:color w:val="333333"/>
                <w:spacing w:val="-3"/>
                <w:sz w:val="21"/>
              </w:rPr>
              <w:t xml:space="preserve"> </w:t>
            </w:r>
            <w:r w:rsidR="00C5052E">
              <w:rPr>
                <w:color w:val="333333"/>
                <w:sz w:val="21"/>
              </w:rPr>
              <w:t>combined</w:t>
            </w:r>
            <w:r w:rsidR="00C5052E">
              <w:rPr>
                <w:color w:val="333333"/>
                <w:spacing w:val="-5"/>
                <w:sz w:val="21"/>
              </w:rPr>
              <w:t xml:space="preserve"> </w:t>
            </w:r>
            <w:r w:rsidR="00C5052E">
              <w:rPr>
                <w:color w:val="333333"/>
                <w:sz w:val="21"/>
              </w:rPr>
              <w:t>charges</w:t>
            </w:r>
            <w:r w:rsidR="00C5052E" w:rsidRPr="00F83091">
              <w:rPr>
                <w:color w:val="333333"/>
                <w:sz w:val="21"/>
              </w:rPr>
              <w:t>.</w:t>
            </w:r>
            <w:r w:rsidR="00C5052E" w:rsidRPr="00F83091">
              <w:rPr>
                <w:color w:val="333333"/>
                <w:spacing w:val="-5"/>
                <w:sz w:val="21"/>
              </w:rPr>
              <w:t xml:space="preserve"> </w:t>
            </w:r>
            <w:r w:rsidR="00C5052E" w:rsidRPr="003D2100">
              <w:rPr>
                <w:color w:val="333333"/>
                <w:sz w:val="21"/>
              </w:rPr>
              <w:t>No conviction was recorded</w:t>
            </w:r>
            <w:r w:rsidRPr="003D2100">
              <w:rPr>
                <w:color w:val="333333"/>
                <w:sz w:val="21"/>
              </w:rPr>
              <w:t>.</w:t>
            </w:r>
          </w:p>
        </w:tc>
      </w:tr>
    </w:tbl>
    <w:p w14:paraId="77500C8B" w14:textId="77777777" w:rsidR="00CA4C65" w:rsidRDefault="00CA4C65"/>
    <w:sectPr w:rsidR="00CA4C65">
      <w:type w:val="continuous"/>
      <w:pgSz w:w="11910" w:h="16840"/>
      <w:pgMar w:top="192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D4779"/>
    <w:multiLevelType w:val="hybridMultilevel"/>
    <w:tmpl w:val="57E2FF5E"/>
    <w:lvl w:ilvl="0" w:tplc="45D43A52">
      <w:start w:val="1"/>
      <w:numFmt w:val="lowerLetter"/>
      <w:lvlText w:val="(%1)"/>
      <w:lvlJc w:val="left"/>
      <w:pPr>
        <w:ind w:left="81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1" w:tplc="BF6E65C6">
      <w:numFmt w:val="bullet"/>
      <w:lvlText w:val="•"/>
      <w:lvlJc w:val="left"/>
      <w:pPr>
        <w:ind w:left="1380" w:hanging="569"/>
      </w:pPr>
      <w:rPr>
        <w:rFonts w:hint="default"/>
        <w:lang w:val="en-US" w:eastAsia="en-US" w:bidi="ar-SA"/>
      </w:rPr>
    </w:lvl>
    <w:lvl w:ilvl="2" w:tplc="C0B68EE2">
      <w:numFmt w:val="bullet"/>
      <w:lvlText w:val="•"/>
      <w:lvlJc w:val="left"/>
      <w:pPr>
        <w:ind w:left="1940" w:hanging="569"/>
      </w:pPr>
      <w:rPr>
        <w:rFonts w:hint="default"/>
        <w:lang w:val="en-US" w:eastAsia="en-US" w:bidi="ar-SA"/>
      </w:rPr>
    </w:lvl>
    <w:lvl w:ilvl="3" w:tplc="08D88E04">
      <w:numFmt w:val="bullet"/>
      <w:lvlText w:val="•"/>
      <w:lvlJc w:val="left"/>
      <w:pPr>
        <w:ind w:left="2500" w:hanging="569"/>
      </w:pPr>
      <w:rPr>
        <w:rFonts w:hint="default"/>
        <w:lang w:val="en-US" w:eastAsia="en-US" w:bidi="ar-SA"/>
      </w:rPr>
    </w:lvl>
    <w:lvl w:ilvl="4" w:tplc="96825E6E">
      <w:numFmt w:val="bullet"/>
      <w:lvlText w:val="•"/>
      <w:lvlJc w:val="left"/>
      <w:pPr>
        <w:ind w:left="3060" w:hanging="569"/>
      </w:pPr>
      <w:rPr>
        <w:rFonts w:hint="default"/>
        <w:lang w:val="en-US" w:eastAsia="en-US" w:bidi="ar-SA"/>
      </w:rPr>
    </w:lvl>
    <w:lvl w:ilvl="5" w:tplc="3EFC947E">
      <w:numFmt w:val="bullet"/>
      <w:lvlText w:val="•"/>
      <w:lvlJc w:val="left"/>
      <w:pPr>
        <w:ind w:left="3621" w:hanging="569"/>
      </w:pPr>
      <w:rPr>
        <w:rFonts w:hint="default"/>
        <w:lang w:val="en-US" w:eastAsia="en-US" w:bidi="ar-SA"/>
      </w:rPr>
    </w:lvl>
    <w:lvl w:ilvl="6" w:tplc="4F74892C">
      <w:numFmt w:val="bullet"/>
      <w:lvlText w:val="•"/>
      <w:lvlJc w:val="left"/>
      <w:pPr>
        <w:ind w:left="4181" w:hanging="569"/>
      </w:pPr>
      <w:rPr>
        <w:rFonts w:hint="default"/>
        <w:lang w:val="en-US" w:eastAsia="en-US" w:bidi="ar-SA"/>
      </w:rPr>
    </w:lvl>
    <w:lvl w:ilvl="7" w:tplc="F0AC7C92">
      <w:numFmt w:val="bullet"/>
      <w:lvlText w:val="•"/>
      <w:lvlJc w:val="left"/>
      <w:pPr>
        <w:ind w:left="4741" w:hanging="569"/>
      </w:pPr>
      <w:rPr>
        <w:rFonts w:hint="default"/>
        <w:lang w:val="en-US" w:eastAsia="en-US" w:bidi="ar-SA"/>
      </w:rPr>
    </w:lvl>
    <w:lvl w:ilvl="8" w:tplc="8250B880">
      <w:numFmt w:val="bullet"/>
      <w:lvlText w:val="•"/>
      <w:lvlJc w:val="left"/>
      <w:pPr>
        <w:ind w:left="5301" w:hanging="5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0D"/>
    <w:rsid w:val="00065F43"/>
    <w:rsid w:val="0007726B"/>
    <w:rsid w:val="00144652"/>
    <w:rsid w:val="002A779D"/>
    <w:rsid w:val="00333B8A"/>
    <w:rsid w:val="003D2100"/>
    <w:rsid w:val="004B36A6"/>
    <w:rsid w:val="004D08EC"/>
    <w:rsid w:val="004D4BDC"/>
    <w:rsid w:val="004D5B74"/>
    <w:rsid w:val="00515112"/>
    <w:rsid w:val="00564929"/>
    <w:rsid w:val="005C50E8"/>
    <w:rsid w:val="00616F89"/>
    <w:rsid w:val="0068780D"/>
    <w:rsid w:val="009274FB"/>
    <w:rsid w:val="00A20C52"/>
    <w:rsid w:val="00B65590"/>
    <w:rsid w:val="00B76F3E"/>
    <w:rsid w:val="00B81D92"/>
    <w:rsid w:val="00C5052E"/>
    <w:rsid w:val="00C626DB"/>
    <w:rsid w:val="00CA4C65"/>
    <w:rsid w:val="00D5192B"/>
    <w:rsid w:val="00EC1890"/>
    <w:rsid w:val="00F8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3815"/>
  <w15:docId w15:val="{E1CED341-C643-41E7-BFE0-3A86DC3D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6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2025-05-19T22:56:27+00:00</PPModeratedDate>
    <PPLastReviewedDate xmlns="687c0ba5-25f6-467d-a8e9-4285ca7a69ae">2025-05-19T22:56:27+00:00</PPLastReviewedDate>
    <PPModeratedBy xmlns="687c0ba5-25f6-467d-a8e9-4285ca7a69ae">
      <UserInfo>
        <DisplayName>DELIZO, Dan</DisplayName>
        <AccountId>21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7F797F76-CDC5-402F-B1E4-3DC379AA032F}"/>
</file>

<file path=customXml/itemProps2.xml><?xml version="1.0" encoding="utf-8"?>
<ds:datastoreItem xmlns:ds="http://schemas.openxmlformats.org/officeDocument/2006/customXml" ds:itemID="{FFA40AF0-B46E-4039-8A21-E15398DFA713}"/>
</file>

<file path=customXml/itemProps3.xml><?xml version="1.0" encoding="utf-8"?>
<ds:datastoreItem xmlns:ds="http://schemas.openxmlformats.org/officeDocument/2006/customXml" ds:itemID="{B90741FB-8116-42AD-B0B3-504552646C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- 23 464448  Publication - Prosecution of Genius Learning Pty Ltd.DOCX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 - Oakhaul fined $23,000 for multiple breaches</dc:title>
  <dc:creator>Queenland Government</dc:creator>
  <dcterms:created xsi:type="dcterms:W3CDTF">2024-01-31T01:07:00Z</dcterms:created>
  <dcterms:modified xsi:type="dcterms:W3CDTF">2024-02-14T05:49:00Z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2024-01-30T00:00:00Z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0x01010053A9ED383340B141B424EE441194D85C</vt:lpwstr>
  </property>
</Properties>
</file>