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617"/>
        <w:gridCol w:w="1751"/>
        <w:gridCol w:w="4642"/>
      </w:tblGrid>
      <w:tr w:rsidR="00E3381A" w:rsidRPr="00A11B66" w14:paraId="7190CB1E" w14:textId="77777777" w:rsidTr="009D3F60">
        <w:trPr>
          <w:tblCellSpacing w:w="20" w:type="dxa"/>
        </w:trPr>
        <w:tc>
          <w:tcPr>
            <w:tcW w:w="4956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73432289" w14:textId="77777777" w:rsidR="00E3381A" w:rsidRPr="00A11B66" w:rsidRDefault="00E3381A" w:rsidP="009D3F60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E3381A" w:rsidRPr="00A11B66" w14:paraId="45666CBC" w14:textId="77777777" w:rsidTr="0053122D">
        <w:trPr>
          <w:trHeight w:val="577"/>
          <w:tblCellSpacing w:w="20" w:type="dxa"/>
        </w:trPr>
        <w:tc>
          <w:tcPr>
            <w:tcW w:w="1432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5ACD26B9" w14:textId="77777777" w:rsidR="00E3381A" w:rsidRPr="00A11B66" w:rsidRDefault="00E3381A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/entity</w:t>
            </w:r>
            <w:r w:rsidRPr="00A11B66">
              <w:rPr>
                <w:rFonts w:ascii="Arial" w:hAnsi="Arial" w:cs="Arial"/>
                <w:sz w:val="20"/>
                <w:szCs w:val="20"/>
              </w:rPr>
              <w:t xml:space="preserve"> to whom the </w:t>
            </w:r>
            <w:r w:rsidR="00CA3F53">
              <w:rPr>
                <w:rFonts w:ascii="Arial" w:hAnsi="Arial" w:cs="Arial"/>
                <w:sz w:val="20"/>
                <w:szCs w:val="20"/>
              </w:rPr>
              <w:t>enforcement action</w:t>
            </w:r>
            <w:r w:rsidRPr="00A11B66">
              <w:rPr>
                <w:rFonts w:ascii="Arial" w:hAnsi="Arial" w:cs="Arial"/>
                <w:sz w:val="20"/>
                <w:szCs w:val="20"/>
              </w:rPr>
              <w:t xml:space="preserve"> relates</w:t>
            </w:r>
          </w:p>
        </w:tc>
        <w:tc>
          <w:tcPr>
            <w:tcW w:w="95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0B53658C" w14:textId="77777777" w:rsidR="00E3381A" w:rsidRPr="006C451F" w:rsidRDefault="00CA3F53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Provider</w:t>
            </w:r>
          </w:p>
        </w:tc>
        <w:tc>
          <w:tcPr>
            <w:tcW w:w="252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96B5346" w14:textId="523F3789" w:rsidR="00E3381A" w:rsidRPr="006C451F" w:rsidRDefault="003A77CF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SUMYU INVESTMENTS PTY LTD</w:t>
            </w:r>
          </w:p>
        </w:tc>
      </w:tr>
      <w:tr w:rsidR="000877DC" w:rsidRPr="00A11B66" w14:paraId="59EA4BAF" w14:textId="77777777" w:rsidTr="0053122D">
        <w:trPr>
          <w:trHeight w:val="577"/>
          <w:tblCellSpacing w:w="20" w:type="dxa"/>
        </w:trPr>
        <w:tc>
          <w:tcPr>
            <w:tcW w:w="1432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05664D01" w14:textId="77777777" w:rsidR="000877DC" w:rsidRPr="00A11B66" w:rsidRDefault="000877DC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40A4D7A2" w14:textId="77777777" w:rsidR="000877DC" w:rsidRDefault="000877DC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252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EF14B81" w14:textId="0BE1B2A4" w:rsidR="000877DC" w:rsidRPr="006C451F" w:rsidRDefault="003A77CF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603 Millers Road Kuraby Queensland 4112</w:t>
            </w:r>
          </w:p>
        </w:tc>
      </w:tr>
      <w:tr w:rsidR="00E3381A" w:rsidRPr="00A11B66" w14:paraId="0A1D5921" w14:textId="77777777" w:rsidTr="0053122D">
        <w:trPr>
          <w:trHeight w:val="577"/>
          <w:tblCellSpacing w:w="20" w:type="dxa"/>
        </w:trPr>
        <w:tc>
          <w:tcPr>
            <w:tcW w:w="1432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0C665EC8" w14:textId="77777777" w:rsidR="00E3381A" w:rsidRPr="00A11B66" w:rsidRDefault="00E3381A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4E4EC8D7" w14:textId="77777777" w:rsidR="00E3381A" w:rsidRPr="006C451F" w:rsidRDefault="00E3381A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Service type </w:t>
            </w:r>
          </w:p>
        </w:tc>
        <w:tc>
          <w:tcPr>
            <w:tcW w:w="252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7BC40F" w14:textId="13AE9AD4" w:rsidR="00E3381A" w:rsidRPr="006C451F" w:rsidRDefault="003A77CF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Centre-Based Care</w:t>
            </w:r>
          </w:p>
        </w:tc>
      </w:tr>
      <w:tr w:rsidR="00E3381A" w:rsidRPr="00A11B66" w14:paraId="01DE1A6B" w14:textId="77777777" w:rsidTr="0053122D">
        <w:trPr>
          <w:trHeight w:val="577"/>
          <w:tblCellSpacing w:w="20" w:type="dxa"/>
        </w:trPr>
        <w:tc>
          <w:tcPr>
            <w:tcW w:w="1432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22F10D20" w14:textId="77777777" w:rsidR="00E3381A" w:rsidRPr="00A11B66" w:rsidRDefault="00E3381A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49138B4" w14:textId="77777777" w:rsidR="00E3381A" w:rsidRPr="006C451F" w:rsidRDefault="000877DC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Associated se</w:t>
            </w:r>
            <w:r w:rsidR="00E3381A">
              <w:rPr>
                <w:rFonts w:ascii="Arial" w:hAnsi="Arial" w:cs="Arial"/>
                <w:sz w:val="22"/>
                <w:szCs w:val="22"/>
              </w:rPr>
              <w:t xml:space="preserve">rvice name </w:t>
            </w:r>
          </w:p>
        </w:tc>
        <w:tc>
          <w:tcPr>
            <w:tcW w:w="252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2390E16" w14:textId="6C8EE6C9" w:rsidR="00E3381A" w:rsidRPr="006C451F" w:rsidRDefault="003A77CF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3A77CF">
              <w:rPr>
                <w:rFonts w:ascii="Arial" w:hAnsi="Arial" w:cs="Arial"/>
                <w:sz w:val="22"/>
                <w:szCs w:val="22"/>
              </w:rPr>
              <w:t>KidCademy Early Learning Centres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A3F53" w:rsidRPr="00A11B66" w14:paraId="0BDE2B55" w14:textId="77777777" w:rsidTr="00CA3F53">
        <w:trPr>
          <w:trHeight w:val="577"/>
          <w:tblCellSpacing w:w="20" w:type="dxa"/>
        </w:trPr>
        <w:tc>
          <w:tcPr>
            <w:tcW w:w="143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40A825BB" w14:textId="77777777" w:rsidR="00CA3F53" w:rsidRPr="00A11B66" w:rsidRDefault="00CA3F53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address</w:t>
            </w:r>
          </w:p>
        </w:tc>
        <w:tc>
          <w:tcPr>
            <w:tcW w:w="350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BC4CE2" w14:textId="00CDE8FD" w:rsidR="00CA3F53" w:rsidRPr="006C451F" w:rsidRDefault="003A77CF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14:shadow w14:blurRad="0" w14:dist="0" w14:dir="0" w14:sx="1000" w14:sy="1000" w14:kx="0" w14:ky="0" w14:algn="ctr">
                  <w14:schemeClr w14:val="bg1"/>
                </w14:shadow>
              </w:rPr>
              <w:t>68 Halstead Street, Coorparoo, Queensland 4151</w:t>
            </w:r>
          </w:p>
        </w:tc>
      </w:tr>
      <w:tr w:rsidR="00E3381A" w:rsidRPr="00A11B66" w14:paraId="432A5968" w14:textId="77777777" w:rsidTr="00CA3F53">
        <w:trPr>
          <w:trHeight w:val="577"/>
          <w:tblCellSpacing w:w="20" w:type="dxa"/>
        </w:trPr>
        <w:tc>
          <w:tcPr>
            <w:tcW w:w="143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65311C51" w14:textId="77777777" w:rsidR="00E3381A" w:rsidRPr="00A11B66" w:rsidRDefault="00E3381A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50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818315C" w14:textId="77777777" w:rsidR="00E3381A" w:rsidRPr="006C451F" w:rsidRDefault="00CA3F53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Prosecution</w:t>
            </w:r>
          </w:p>
        </w:tc>
      </w:tr>
      <w:tr w:rsidR="00E3381A" w:rsidRPr="00A11B66" w14:paraId="705D2B50" w14:textId="77777777" w:rsidTr="00CA3F53">
        <w:trPr>
          <w:trHeight w:val="1131"/>
          <w:tblCellSpacing w:w="20" w:type="dxa"/>
        </w:trPr>
        <w:tc>
          <w:tcPr>
            <w:tcW w:w="143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AB4D375" w14:textId="77777777" w:rsidR="00E3381A" w:rsidRPr="00A11B66" w:rsidRDefault="00E3381A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Reason for </w:t>
            </w:r>
            <w:r w:rsidR="00CA3F53">
              <w:rPr>
                <w:rFonts w:ascii="Arial" w:hAnsi="Arial" w:cs="Arial"/>
                <w:sz w:val="20"/>
                <w:szCs w:val="20"/>
              </w:rPr>
              <w:t>Prosecution</w:t>
            </w:r>
          </w:p>
        </w:tc>
        <w:tc>
          <w:tcPr>
            <w:tcW w:w="350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03455E" w14:textId="4182DE45" w:rsidR="003A77CF" w:rsidRDefault="003A77CF" w:rsidP="003A77CF">
            <w:pPr>
              <w:spacing w:after="120" w:line="240" w:lineRule="auto"/>
              <w:jc w:val="both"/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</w:pPr>
            <w:r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  <w:t xml:space="preserve">On 18 January 2023, </w:t>
            </w:r>
            <w:r w:rsidR="002808EA"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  <w:t xml:space="preserve">a child aged only </w:t>
            </w:r>
            <w:r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  <w:t>two years and nine months, left KidCademy Early Learning Centre, 68 Halstead Street, Coorparoo, Queensland, through an unsecured external gate, which</w:t>
            </w:r>
            <w:r w:rsidR="0097782D"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  <w:t xml:space="preserve"> the child was able to</w:t>
            </w:r>
            <w:r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  <w:t xml:space="preserve"> open due to a faulty lock. </w:t>
            </w:r>
          </w:p>
          <w:p w14:paraId="6888EE41" w14:textId="77777777" w:rsidR="003A77CF" w:rsidRDefault="003A77CF" w:rsidP="003A77CF">
            <w:pPr>
              <w:spacing w:after="120" w:line="240" w:lineRule="auto"/>
              <w:jc w:val="both"/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</w:pPr>
            <w:r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  <w:t>The child was found by a community member on the corner of Halstead Street and Leicester Street, Coorparoo, and the Queensland Police Service was called.</w:t>
            </w:r>
            <w:r w:rsidRPr="000A6B08"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  <w:t xml:space="preserve"> </w:t>
            </w:r>
            <w:r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  <w:t xml:space="preserve">  </w:t>
            </w:r>
          </w:p>
          <w:p w14:paraId="0B033712" w14:textId="77777777" w:rsidR="00CA3F53" w:rsidRDefault="00CA3F53" w:rsidP="009D3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56452DB" w14:textId="6492B15E" w:rsidR="00CA3F53" w:rsidRDefault="00CA3F53" w:rsidP="009D3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97782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pproved </w:t>
            </w:r>
            <w:r w:rsidR="0097782D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rovider </w:t>
            </w:r>
            <w:r w:rsidRPr="00E14AAC">
              <w:rPr>
                <w:rFonts w:ascii="Arial" w:hAnsi="Arial" w:cs="Arial"/>
              </w:rPr>
              <w:t xml:space="preserve">pleaded guilty to </w:t>
            </w:r>
            <w:r>
              <w:rPr>
                <w:rFonts w:ascii="Arial" w:hAnsi="Arial" w:cs="Arial"/>
              </w:rPr>
              <w:t>contravening:</w:t>
            </w:r>
          </w:p>
          <w:p w14:paraId="44CB6091" w14:textId="77777777" w:rsidR="00CA3F53" w:rsidRDefault="00CA3F53" w:rsidP="009D3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3E30A5B" w14:textId="58D7C780" w:rsidR="00CA3F53" w:rsidRDefault="002B4AEC" w:rsidP="0097782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2B4AEC">
              <w:rPr>
                <w:rFonts w:ascii="Arial" w:hAnsi="Arial" w:cs="Arial"/>
              </w:rPr>
              <w:t>ection 165(1) Education and Care Services National Law (Queensland)</w:t>
            </w:r>
            <w:r>
              <w:rPr>
                <w:rFonts w:ascii="Arial" w:hAnsi="Arial" w:cs="Arial"/>
              </w:rPr>
              <w:t xml:space="preserve"> – </w:t>
            </w:r>
            <w:r w:rsidR="003A77CF" w:rsidRPr="003A77CF">
              <w:rPr>
                <w:rFonts w:ascii="Arial" w:hAnsi="Arial" w:cs="Arial"/>
              </w:rPr>
              <w:t>Offence to inadequately supervise children</w:t>
            </w:r>
          </w:p>
          <w:p w14:paraId="70D7EDAF" w14:textId="77777777" w:rsidR="002B4AEC" w:rsidRPr="002B4AEC" w:rsidRDefault="002B4AEC" w:rsidP="002B4AE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8111E3A" w14:textId="575A465C" w:rsidR="00CA3F53" w:rsidRPr="003A77CF" w:rsidRDefault="002B4AEC" w:rsidP="0097782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A77CF">
              <w:rPr>
                <w:rFonts w:ascii="Arial" w:hAnsi="Arial" w:cs="Arial"/>
              </w:rPr>
              <w:t>Section 167(1) Education and Care Services National Law (Queensland</w:t>
            </w:r>
            <w:r w:rsidRPr="002B4AE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 </w:t>
            </w:r>
            <w:r w:rsidR="003A77CF" w:rsidRPr="003A77CF">
              <w:rPr>
                <w:rFonts w:ascii="Arial" w:hAnsi="Arial" w:cs="Arial"/>
              </w:rPr>
              <w:t>Offence relating to protection of children from harm and hazards</w:t>
            </w:r>
          </w:p>
          <w:p w14:paraId="25127DC7" w14:textId="77777777" w:rsidR="002B4AEC" w:rsidRPr="003A77CF" w:rsidRDefault="002B4AEC" w:rsidP="002B4AEC">
            <w:pPr>
              <w:pStyle w:val="ListParagraph"/>
              <w:rPr>
                <w:rFonts w:ascii="Arial" w:hAnsi="Arial" w:cs="Arial"/>
              </w:rPr>
            </w:pPr>
          </w:p>
          <w:p w14:paraId="7B88FB0D" w14:textId="05538308" w:rsidR="00CA3F53" w:rsidRDefault="002B4AEC" w:rsidP="0097782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2B4AEC">
              <w:rPr>
                <w:rFonts w:ascii="Arial" w:hAnsi="Arial" w:cs="Arial"/>
              </w:rPr>
              <w:t>egulation 99(1) Education and Care Services National Regulations</w:t>
            </w:r>
            <w:r>
              <w:rPr>
                <w:rFonts w:ascii="Arial" w:hAnsi="Arial" w:cs="Arial"/>
              </w:rPr>
              <w:t xml:space="preserve"> – </w:t>
            </w:r>
            <w:r w:rsidR="003A77CF" w:rsidRPr="003A77CF">
              <w:rPr>
                <w:rFonts w:ascii="Arial" w:hAnsi="Arial" w:cs="Arial"/>
              </w:rPr>
              <w:t>Children leaving the education and care service premises</w:t>
            </w:r>
          </w:p>
          <w:p w14:paraId="557ACC29" w14:textId="77777777" w:rsidR="002B4AEC" w:rsidRPr="002B4AEC" w:rsidRDefault="002B4AEC" w:rsidP="002B4AEC">
            <w:pPr>
              <w:pStyle w:val="ListParagraph"/>
              <w:rPr>
                <w:rFonts w:ascii="Arial" w:hAnsi="Arial" w:cs="Arial"/>
              </w:rPr>
            </w:pPr>
          </w:p>
          <w:p w14:paraId="12A21DC8" w14:textId="30452AC5" w:rsidR="002B4AEC" w:rsidRPr="002B4AEC" w:rsidRDefault="002B4AEC" w:rsidP="0097782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2B4AEC">
              <w:rPr>
                <w:rFonts w:ascii="Arial" w:hAnsi="Arial" w:cs="Arial"/>
              </w:rPr>
              <w:t>egulation 103(1) Education and Care Services National Regulations</w:t>
            </w:r>
            <w:r>
              <w:rPr>
                <w:rFonts w:ascii="Arial" w:hAnsi="Arial" w:cs="Arial"/>
              </w:rPr>
              <w:t xml:space="preserve"> - </w:t>
            </w:r>
            <w:r w:rsidR="003A77CF" w:rsidRPr="003A77CF">
              <w:rPr>
                <w:rFonts w:ascii="Arial" w:hAnsi="Arial" w:cs="Arial"/>
              </w:rPr>
              <w:t>Premises, furniture and equipment to be safe, clean and in good repair</w:t>
            </w:r>
          </w:p>
        </w:tc>
      </w:tr>
      <w:tr w:rsidR="00E3381A" w:rsidRPr="00A11B66" w14:paraId="0C7DAA93" w14:textId="77777777" w:rsidTr="00CA3F53">
        <w:trPr>
          <w:trHeight w:val="994"/>
          <w:tblCellSpacing w:w="20" w:type="dxa"/>
        </w:trPr>
        <w:tc>
          <w:tcPr>
            <w:tcW w:w="143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1539BF7" w14:textId="77777777" w:rsidR="00E3381A" w:rsidRPr="00A11B66" w:rsidRDefault="00E3381A" w:rsidP="0097782D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CA3F53">
              <w:rPr>
                <w:rFonts w:ascii="Arial" w:hAnsi="Arial" w:cs="Arial"/>
                <w:sz w:val="20"/>
                <w:szCs w:val="20"/>
              </w:rPr>
              <w:t>prosecution</w:t>
            </w:r>
          </w:p>
        </w:tc>
        <w:tc>
          <w:tcPr>
            <w:tcW w:w="350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3F932EF8" w14:textId="151628DE" w:rsidR="00E3381A" w:rsidRPr="006C451F" w:rsidRDefault="00E14AAC" w:rsidP="009D3F60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 w:rsidRPr="00E14AAC">
              <w:rPr>
                <w:rFonts w:ascii="Arial" w:hAnsi="Arial" w:cs="Arial"/>
                <w:b/>
                <w:sz w:val="22"/>
                <w:szCs w:val="22"/>
              </w:rPr>
              <w:t>19 July</w:t>
            </w:r>
            <w:r w:rsidR="00E3381A" w:rsidRPr="00E14AAC">
              <w:rPr>
                <w:rFonts w:ascii="Arial" w:hAnsi="Arial" w:cs="Arial"/>
                <w:b/>
                <w:sz w:val="22"/>
                <w:szCs w:val="22"/>
              </w:rPr>
              <w:t xml:space="preserve"> 202</w:t>
            </w:r>
            <w:r w:rsidR="002B4AEC" w:rsidRPr="00E14AAC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E3381A" w:rsidRPr="00A11B66" w14:paraId="375BCD2D" w14:textId="77777777" w:rsidTr="00CA3F53">
        <w:trPr>
          <w:tblCellSpacing w:w="20" w:type="dxa"/>
        </w:trPr>
        <w:tc>
          <w:tcPr>
            <w:tcW w:w="143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C059202" w14:textId="77777777" w:rsidR="00E3381A" w:rsidRDefault="00CA3F53" w:rsidP="0097782D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 of prosecution</w:t>
            </w:r>
          </w:p>
          <w:p w14:paraId="0CBF30F2" w14:textId="77777777" w:rsidR="00CA3F53" w:rsidRPr="00A11B66" w:rsidRDefault="00CA3F53" w:rsidP="00CA3F53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DC55BB4" w14:textId="4ADD19A4" w:rsidR="00E3381A" w:rsidRPr="00E3381A" w:rsidRDefault="00CA3F53" w:rsidP="00E3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 w:rsidRPr="00E14AAC">
              <w:rPr>
                <w:rFonts w:ascii="Arial" w:hAnsi="Arial" w:cs="Arial"/>
                <w:lang w:eastAsia="ja-JP"/>
              </w:rPr>
              <w:t xml:space="preserve">The </w:t>
            </w:r>
            <w:r w:rsidR="0097782D" w:rsidRPr="00E14AAC">
              <w:rPr>
                <w:rFonts w:ascii="Arial" w:hAnsi="Arial" w:cs="Arial"/>
                <w:lang w:eastAsia="ja-JP"/>
              </w:rPr>
              <w:t>A</w:t>
            </w:r>
            <w:r w:rsidRPr="00E14AAC">
              <w:rPr>
                <w:rFonts w:ascii="Arial" w:hAnsi="Arial" w:cs="Arial"/>
                <w:lang w:eastAsia="ja-JP"/>
              </w:rPr>
              <w:t xml:space="preserve">pproved </w:t>
            </w:r>
            <w:r w:rsidR="0097782D" w:rsidRPr="00E14AAC">
              <w:rPr>
                <w:rFonts w:ascii="Arial" w:hAnsi="Arial" w:cs="Arial"/>
                <w:lang w:eastAsia="ja-JP"/>
              </w:rPr>
              <w:t>P</w:t>
            </w:r>
            <w:r w:rsidRPr="00E14AAC">
              <w:rPr>
                <w:rFonts w:ascii="Arial" w:hAnsi="Arial" w:cs="Arial"/>
                <w:lang w:eastAsia="ja-JP"/>
              </w:rPr>
              <w:t>rovider pleaded guilty to all charges and was fined $</w:t>
            </w:r>
            <w:r w:rsidR="00E14AAC" w:rsidRPr="00E14AAC">
              <w:rPr>
                <w:rFonts w:ascii="Arial" w:hAnsi="Arial" w:cs="Arial"/>
                <w:lang w:eastAsia="ja-JP"/>
              </w:rPr>
              <w:t>15,00</w:t>
            </w:r>
            <w:r w:rsidR="00D73F16">
              <w:rPr>
                <w:rFonts w:ascii="Arial" w:hAnsi="Arial" w:cs="Arial"/>
                <w:lang w:eastAsia="ja-JP"/>
              </w:rPr>
              <w:t>0</w:t>
            </w:r>
            <w:r w:rsidRPr="00E14AAC">
              <w:rPr>
                <w:rFonts w:ascii="Arial" w:hAnsi="Arial" w:cs="Arial"/>
                <w:lang w:eastAsia="ja-JP"/>
              </w:rPr>
              <w:t xml:space="preserve"> for the combined char</w:t>
            </w:r>
            <w:r w:rsidR="0053122D" w:rsidRPr="00E14AAC">
              <w:rPr>
                <w:rFonts w:ascii="Arial" w:hAnsi="Arial" w:cs="Arial"/>
                <w:lang w:eastAsia="ja-JP"/>
              </w:rPr>
              <w:t>g</w:t>
            </w:r>
            <w:r w:rsidRPr="00E14AAC">
              <w:rPr>
                <w:rFonts w:ascii="Arial" w:hAnsi="Arial" w:cs="Arial"/>
                <w:lang w:eastAsia="ja-JP"/>
              </w:rPr>
              <w:t xml:space="preserve">es and </w:t>
            </w:r>
            <w:r w:rsidR="0053122D" w:rsidRPr="00E14AAC">
              <w:rPr>
                <w:rFonts w:ascii="Arial" w:hAnsi="Arial" w:cs="Arial"/>
                <w:lang w:eastAsia="ja-JP"/>
              </w:rPr>
              <w:t>order</w:t>
            </w:r>
            <w:r w:rsidR="00D73F16">
              <w:rPr>
                <w:rFonts w:ascii="Arial" w:hAnsi="Arial" w:cs="Arial"/>
                <w:lang w:eastAsia="ja-JP"/>
              </w:rPr>
              <w:t>ed</w:t>
            </w:r>
            <w:r w:rsidR="0053122D" w:rsidRPr="00E14AAC">
              <w:rPr>
                <w:rFonts w:ascii="Arial" w:hAnsi="Arial" w:cs="Arial"/>
                <w:lang w:eastAsia="ja-JP"/>
              </w:rPr>
              <w:t xml:space="preserve"> to pay </w:t>
            </w:r>
            <w:r w:rsidRPr="00E14AAC">
              <w:rPr>
                <w:rFonts w:ascii="Arial" w:hAnsi="Arial" w:cs="Arial"/>
                <w:lang w:eastAsia="ja-JP"/>
              </w:rPr>
              <w:t>$</w:t>
            </w:r>
            <w:r w:rsidR="00E14AAC" w:rsidRPr="00E14AAC">
              <w:rPr>
                <w:rFonts w:ascii="Arial" w:hAnsi="Arial" w:cs="Arial"/>
                <w:lang w:eastAsia="ja-JP"/>
              </w:rPr>
              <w:t>1,851.40</w:t>
            </w:r>
            <w:r w:rsidRPr="00E14AAC">
              <w:rPr>
                <w:rFonts w:ascii="Arial" w:hAnsi="Arial" w:cs="Arial"/>
                <w:lang w:eastAsia="ja-JP"/>
              </w:rPr>
              <w:t xml:space="preserve"> in costs. No conviction was recorded.</w:t>
            </w:r>
          </w:p>
        </w:tc>
      </w:tr>
    </w:tbl>
    <w:p w14:paraId="57DB0772" w14:textId="77777777" w:rsidR="00B565F9" w:rsidRDefault="00B565F9"/>
    <w:sectPr w:rsidR="00B565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B393" w14:textId="77777777" w:rsidR="002112FE" w:rsidRDefault="002112FE" w:rsidP="001528C6">
      <w:pPr>
        <w:spacing w:after="0" w:line="240" w:lineRule="auto"/>
      </w:pPr>
      <w:r>
        <w:separator/>
      </w:r>
    </w:p>
  </w:endnote>
  <w:endnote w:type="continuationSeparator" w:id="0">
    <w:p w14:paraId="07B68869" w14:textId="77777777" w:rsidR="002112FE" w:rsidRDefault="002112FE" w:rsidP="0015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2EB2" w14:textId="77777777" w:rsidR="00EE34BC" w:rsidRDefault="00EE3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F30A" w14:textId="46E90620" w:rsidR="001528C6" w:rsidRPr="001528C6" w:rsidRDefault="001528C6">
    <w:pPr>
      <w:pStyle w:val="Footer"/>
      <w:rPr>
        <w:rFonts w:ascii="Arial" w:hAnsi="Arial" w:cs="Arial"/>
      </w:rPr>
    </w:pPr>
    <w:r w:rsidRPr="001528C6">
      <w:rPr>
        <w:rFonts w:ascii="Arial" w:hAnsi="Arial" w:cs="Arial"/>
      </w:rPr>
      <w:t xml:space="preserve">Ref CM </w:t>
    </w:r>
    <w:r w:rsidR="003A77CF">
      <w:rPr>
        <w:rFonts w:ascii="Arial" w:hAnsi="Arial" w:cs="Arial"/>
      </w:rPr>
      <w:t>24/</w:t>
    </w:r>
    <w:r w:rsidR="00EE34BC">
      <w:rPr>
        <w:rFonts w:ascii="Arial" w:hAnsi="Arial" w:cs="Arial"/>
      </w:rPr>
      <w:t>261222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530A" w14:textId="77777777" w:rsidR="00EE34BC" w:rsidRDefault="00EE3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A114F" w14:textId="77777777" w:rsidR="002112FE" w:rsidRDefault="002112FE" w:rsidP="001528C6">
      <w:pPr>
        <w:spacing w:after="0" w:line="240" w:lineRule="auto"/>
      </w:pPr>
      <w:r>
        <w:separator/>
      </w:r>
    </w:p>
  </w:footnote>
  <w:footnote w:type="continuationSeparator" w:id="0">
    <w:p w14:paraId="121D3BE0" w14:textId="77777777" w:rsidR="002112FE" w:rsidRDefault="002112FE" w:rsidP="00152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A0C1" w14:textId="77777777" w:rsidR="00EE34BC" w:rsidRDefault="00EE3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BCA5" w14:textId="77777777" w:rsidR="00EE34BC" w:rsidRDefault="00EE34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632" w14:textId="77777777" w:rsidR="00EE34BC" w:rsidRDefault="00EE3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4C7"/>
    <w:multiLevelType w:val="hybridMultilevel"/>
    <w:tmpl w:val="7BBA0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04E2C"/>
    <w:multiLevelType w:val="hybridMultilevel"/>
    <w:tmpl w:val="60029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D19D1"/>
    <w:multiLevelType w:val="hybridMultilevel"/>
    <w:tmpl w:val="5B6EE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66674"/>
    <w:multiLevelType w:val="hybridMultilevel"/>
    <w:tmpl w:val="4CA47FAE"/>
    <w:lvl w:ilvl="0" w:tplc="9216DE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471F2"/>
    <w:multiLevelType w:val="hybridMultilevel"/>
    <w:tmpl w:val="9E92D592"/>
    <w:lvl w:ilvl="0" w:tplc="82C8C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5D02AF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08D583D"/>
    <w:multiLevelType w:val="hybridMultilevel"/>
    <w:tmpl w:val="31E6CE8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90C3E25"/>
    <w:multiLevelType w:val="hybridMultilevel"/>
    <w:tmpl w:val="31E6CE8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1A"/>
    <w:rsid w:val="000877DC"/>
    <w:rsid w:val="001528C6"/>
    <w:rsid w:val="002112FE"/>
    <w:rsid w:val="002808EA"/>
    <w:rsid w:val="002B4AEC"/>
    <w:rsid w:val="003A77CF"/>
    <w:rsid w:val="0053122D"/>
    <w:rsid w:val="0097782D"/>
    <w:rsid w:val="00B565F9"/>
    <w:rsid w:val="00BD1E1E"/>
    <w:rsid w:val="00CA3F53"/>
    <w:rsid w:val="00D73F16"/>
    <w:rsid w:val="00E14AAC"/>
    <w:rsid w:val="00E3381A"/>
    <w:rsid w:val="00EE34BC"/>
    <w:rsid w:val="00FA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5E61E"/>
  <w15:chartTrackingRefBased/>
  <w15:docId w15:val="{18842E25-E2B7-4B73-97CA-5587C9FB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8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E338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381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2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8C6"/>
  </w:style>
  <w:style w:type="paragraph" w:styleId="Footer">
    <w:name w:val="footer"/>
    <w:basedOn w:val="Normal"/>
    <w:link w:val="FooterChar"/>
    <w:uiPriority w:val="99"/>
    <w:unhideWhenUsed/>
    <w:rsid w:val="00152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687c0ba5-25f6-467d-a8e9-4285ca7a69ae" xsi:nil="true"/>
    <PPReferenceNumber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  <PPContentOwner xmlns="687c0ba5-25f6-467d-a8e9-4285ca7a69ae">
      <UserInfo>
        <DisplayName/>
        <AccountId xsi:nil="true"/>
        <AccountType/>
      </UserInfo>
    </PPContentOwner>
    <PPPublishedNotificationAddresses xmlns="687c0ba5-25f6-467d-a8e9-4285ca7a69ae" xsi:nil="true"/>
    <PublishingExpirationDate xmlns="http://schemas.microsoft.com/sharepoint/v3" xsi:nil="true"/>
    <PPModeratedDate xmlns="687c0ba5-25f6-467d-a8e9-4285ca7a69ae">2025-05-19T22:56:22+00:00</PPModeratedDate>
    <PPLastReviewedDate xmlns="687c0ba5-25f6-467d-a8e9-4285ca7a69ae">2025-05-19T22:56:22+00:00</PPLastReviewedDate>
    <PPModeratedBy xmlns="687c0ba5-25f6-467d-a8e9-4285ca7a69ae">
      <UserInfo>
        <DisplayName>DELIZO, Dan</DisplayName>
        <AccountId>21</AccountId>
        <AccountType/>
      </UserInfo>
    </PPModeratedBy>
    <PPContentApprover xmlns="687c0ba5-25f6-467d-a8e9-4285ca7a69ae">
      <UserInfo>
        <DisplayName/>
        <AccountId xsi:nil="true"/>
        <AccountType/>
      </UserInfo>
    </PPContentApprover>
    <PublishingStartDate xmlns="http://schemas.microsoft.com/sharepoint/v3" xsi:nil="true"/>
    <PPReviewDate xmlns="687c0ba5-25f6-467d-a8e9-4285ca7a69ae" xsi:nil="true"/>
    <PPContentAuthor xmlns="687c0ba5-25f6-467d-a8e9-4285ca7a69ae">
      <UserInfo>
        <DisplayName/>
        <AccountId xsi:nil="true"/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1A2329F2-F8F1-4370-BF63-BB8C24C62ABE}"/>
</file>

<file path=customXml/itemProps2.xml><?xml version="1.0" encoding="utf-8"?>
<ds:datastoreItem xmlns:ds="http://schemas.openxmlformats.org/officeDocument/2006/customXml" ds:itemID="{637F5201-4DD9-4FC8-9936-972FEAFDA729}"/>
</file>

<file path=customXml/itemProps3.xml><?xml version="1.0" encoding="utf-8"?>
<ds:datastoreItem xmlns:ds="http://schemas.openxmlformats.org/officeDocument/2006/customXml" ds:itemID="{DD7F88F4-13EB-48BA-9969-FFD6E75633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237</Words>
  <Characters>1353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Prosecution – Sumyu Investments</dc:title>
  <dc:subject>Prosecution – Sumyu Investments</dc:subject>
  <dc:creator>Queensland Government</dc:creator>
  <cp:keywords>Prosecution; Sumyu Investments</cp:keywords>
  <dc:description/>
  <dcterms:created xsi:type="dcterms:W3CDTF">2024-03-26T01:03:00Z</dcterms:created>
  <dcterms:modified xsi:type="dcterms:W3CDTF">2024-07-19T02:19:00Z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0x01010053A9ED383340B141B424EE441194D85C</vt:lpwstr>
  </property>
</Properties>
</file>