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43C7" w14:textId="7399BF81" w:rsidR="00AC42F2" w:rsidRPr="00983AE2" w:rsidRDefault="00983AE2" w:rsidP="00983AE2">
      <w:pPr>
        <w:pStyle w:val="Heading1"/>
        <w:jc w:val="both"/>
        <w:rPr>
          <w:sz w:val="32"/>
          <w:szCs w:val="32"/>
        </w:rPr>
      </w:pPr>
      <w:r w:rsidRPr="00983AE2">
        <w:rPr>
          <w:sz w:val="32"/>
          <w:szCs w:val="32"/>
        </w:rPr>
        <w:t xml:space="preserve">In scope use of Kindy Uplift funding </w:t>
      </w:r>
    </w:p>
    <w:p w14:paraId="1B2784A7" w14:textId="77777777" w:rsidR="00983AE2" w:rsidRPr="00554B17" w:rsidRDefault="00983AE2" w:rsidP="00983AE2">
      <w:pPr>
        <w:jc w:val="both"/>
        <w:rPr>
          <w:rFonts w:eastAsia="Aptos" w:cs="Times New Roman"/>
          <w:b/>
          <w:bCs/>
          <w:szCs w:val="20"/>
        </w:rPr>
      </w:pPr>
      <w:r w:rsidRPr="00554B17">
        <w:rPr>
          <w:rFonts w:eastAsia="Aptos" w:cs="Times New Roman"/>
          <w:sz w:val="21"/>
          <w:szCs w:val="21"/>
        </w:rPr>
        <w:t>Funding must only be used for programs, resources</w:t>
      </w:r>
      <w:r>
        <w:rPr>
          <w:rFonts w:eastAsia="Aptos" w:cs="Times New Roman"/>
          <w:sz w:val="21"/>
          <w:szCs w:val="21"/>
        </w:rPr>
        <w:t>,</w:t>
      </w:r>
      <w:r w:rsidRPr="00554B17">
        <w:rPr>
          <w:rFonts w:eastAsia="Aptos" w:cs="Times New Roman"/>
          <w:sz w:val="21"/>
          <w:szCs w:val="21"/>
        </w:rPr>
        <w:t xml:space="preserve"> educational supports</w:t>
      </w:r>
      <w:r>
        <w:rPr>
          <w:rFonts w:eastAsia="Aptos" w:cs="Times New Roman"/>
          <w:sz w:val="21"/>
          <w:szCs w:val="21"/>
        </w:rPr>
        <w:t xml:space="preserve"> and </w:t>
      </w:r>
      <w:r w:rsidRPr="00554B17">
        <w:rPr>
          <w:rFonts w:eastAsia="Aptos" w:cs="Times New Roman"/>
          <w:sz w:val="21"/>
          <w:szCs w:val="21"/>
        </w:rPr>
        <w:t>professional developmen</w:t>
      </w:r>
      <w:r>
        <w:rPr>
          <w:rFonts w:eastAsia="Aptos" w:cs="Times New Roman"/>
          <w:sz w:val="21"/>
          <w:szCs w:val="21"/>
        </w:rPr>
        <w:t>t</w:t>
      </w:r>
      <w:r w:rsidRPr="00554B17">
        <w:rPr>
          <w:rFonts w:eastAsia="Aptos" w:cs="Times New Roman"/>
          <w:sz w:val="21"/>
          <w:szCs w:val="21"/>
        </w:rPr>
        <w:t xml:space="preserve"> that build teacher and educator capability to support inclusion and improve children’s learning and development, with a focus on one or more of the priority areas. It is expected that when engaging professional support to embed Aboriginal and Torres Strait Islander perspectives, the following </w:t>
      </w:r>
      <w:r w:rsidRPr="00FA792D">
        <w:rPr>
          <w:rFonts w:eastAsia="Aptos" w:cs="Times New Roman"/>
          <w:b/>
          <w:bCs/>
          <w:color w:val="0F2C51" w:themeColor="text2"/>
          <w:sz w:val="21"/>
          <w:szCs w:val="21"/>
        </w:rPr>
        <w:t>must</w:t>
      </w:r>
      <w:r w:rsidRPr="00554B17">
        <w:rPr>
          <w:rFonts w:eastAsia="Aptos" w:cs="Times New Roman"/>
          <w:sz w:val="21"/>
          <w:szCs w:val="21"/>
        </w:rPr>
        <w:t xml:space="preserve"> be observed </w:t>
      </w:r>
      <w:proofErr w:type="gramStart"/>
      <w:r w:rsidRPr="00554B17">
        <w:rPr>
          <w:rFonts w:eastAsia="Aptos" w:cs="Times New Roman"/>
          <w:sz w:val="21"/>
          <w:szCs w:val="21"/>
        </w:rPr>
        <w:t>in order to</w:t>
      </w:r>
      <w:proofErr w:type="gramEnd"/>
      <w:r w:rsidRPr="00554B17">
        <w:rPr>
          <w:rFonts w:eastAsia="Aptos" w:cs="Times New Roman"/>
          <w:sz w:val="21"/>
          <w:szCs w:val="21"/>
        </w:rPr>
        <w:t xml:space="preserve"> be considered in-scope:</w:t>
      </w:r>
      <w:r w:rsidRPr="00554B17">
        <w:rPr>
          <w:rFonts w:eastAsia="Aptos" w:cs="Times New Roman"/>
          <w:b/>
          <w:bCs/>
          <w:szCs w:val="20"/>
        </w:rPr>
        <w:t xml:space="preserve"> </w:t>
      </w:r>
    </w:p>
    <w:p w14:paraId="5618C179" w14:textId="77777777" w:rsidR="00983AE2" w:rsidRPr="00554B17" w:rsidRDefault="00983AE2" w:rsidP="00983AE2">
      <w:pPr>
        <w:numPr>
          <w:ilvl w:val="0"/>
          <w:numId w:val="4"/>
        </w:numPr>
        <w:shd w:val="clear" w:color="auto" w:fill="FFFFFF"/>
        <w:spacing w:after="0" w:line="240" w:lineRule="auto"/>
        <w:ind w:left="357" w:hanging="357"/>
        <w:contextualSpacing/>
        <w:jc w:val="both"/>
        <w:rPr>
          <w:rFonts w:eastAsia="Aptos" w:cs="Times New Roman"/>
          <w:sz w:val="21"/>
          <w:szCs w:val="21"/>
        </w:rPr>
      </w:pPr>
      <w:r>
        <w:rPr>
          <w:rFonts w:eastAsia="Aptos" w:cs="Times New Roman"/>
          <w:sz w:val="21"/>
          <w:szCs w:val="21"/>
        </w:rPr>
        <w:t>s</w:t>
      </w:r>
      <w:r w:rsidRPr="00554B17">
        <w:rPr>
          <w:rFonts w:eastAsia="Aptos" w:cs="Times New Roman"/>
          <w:sz w:val="21"/>
          <w:szCs w:val="21"/>
        </w:rPr>
        <w:t>elect an Aboriginal and Torres Strait Islander business that is at least 50% owned by an Aboriginal person or a Torres Strait Islander person.</w:t>
      </w:r>
    </w:p>
    <w:p w14:paraId="6405A1EB" w14:textId="77777777" w:rsidR="00983AE2" w:rsidRDefault="00983AE2" w:rsidP="00983AE2">
      <w:pPr>
        <w:shd w:val="clear" w:color="auto" w:fill="FFFFFF"/>
        <w:spacing w:after="0"/>
        <w:contextualSpacing/>
        <w:jc w:val="both"/>
        <w:rPr>
          <w:rFonts w:eastAsia="Times New Roman" w:cs="Times New Roman"/>
          <w:color w:val="202020"/>
          <w:sz w:val="21"/>
          <w:szCs w:val="21"/>
        </w:rPr>
      </w:pPr>
    </w:p>
    <w:p w14:paraId="0EC331C0" w14:textId="19120990" w:rsidR="00983AE2" w:rsidRPr="00554B17" w:rsidRDefault="00983AE2" w:rsidP="00983AE2">
      <w:pPr>
        <w:shd w:val="clear" w:color="auto" w:fill="FFFFFF"/>
        <w:spacing w:after="0"/>
        <w:contextualSpacing/>
        <w:jc w:val="both"/>
        <w:rPr>
          <w:rFonts w:eastAsia="Times New Roman" w:cs="Times New Roman"/>
          <w:color w:val="202020"/>
          <w:sz w:val="21"/>
          <w:szCs w:val="21"/>
        </w:rPr>
      </w:pPr>
      <w:r w:rsidRPr="00554B17">
        <w:rPr>
          <w:rFonts w:eastAsia="Times New Roman" w:cs="Times New Roman"/>
          <w:color w:val="202020"/>
          <w:sz w:val="21"/>
          <w:szCs w:val="21"/>
        </w:rPr>
        <w:t xml:space="preserve">Online search tools such as </w:t>
      </w:r>
      <w:r>
        <w:rPr>
          <w:rFonts w:eastAsia="Times New Roman" w:cs="Times New Roman"/>
          <w:color w:val="202020"/>
          <w:sz w:val="21"/>
          <w:szCs w:val="21"/>
        </w:rPr>
        <w:t xml:space="preserve"> </w:t>
      </w:r>
      <w:hyperlink r:id="rId11" w:history="1">
        <w:r>
          <w:rPr>
            <w:rStyle w:val="Hyperlink"/>
            <w:rFonts w:eastAsia="Times New Roman" w:cs="Times New Roman"/>
            <w:sz w:val="21"/>
            <w:szCs w:val="21"/>
          </w:rPr>
          <w:t>Black Business Finder</w:t>
        </w:r>
      </w:hyperlink>
      <w:r w:rsidRPr="00554B17">
        <w:rPr>
          <w:rFonts w:eastAsia="Times New Roman" w:cs="Times New Roman"/>
          <w:color w:val="202020"/>
          <w:sz w:val="21"/>
          <w:szCs w:val="21"/>
        </w:rPr>
        <w:t> and </w:t>
      </w:r>
      <w:hyperlink r:id="rId12" w:history="1">
        <w:r>
          <w:rPr>
            <w:rFonts w:eastAsia="Times New Roman" w:cs="Times New Roman"/>
            <w:color w:val="006DC7"/>
            <w:sz w:val="21"/>
            <w:szCs w:val="21"/>
            <w:u w:val="single"/>
            <w:bdr w:val="none" w:sz="0" w:space="0" w:color="auto" w:frame="1"/>
          </w:rPr>
          <w:t>Supply Nation</w:t>
        </w:r>
      </w:hyperlink>
      <w:r w:rsidRPr="00554B17">
        <w:rPr>
          <w:rFonts w:eastAsia="Times New Roman" w:cs="Times New Roman"/>
          <w:color w:val="202020"/>
          <w:sz w:val="21"/>
          <w:szCs w:val="21"/>
        </w:rPr>
        <w:t xml:space="preserve"> cover a wide range of goods and services and can help to identify potential suppliers. Aboriginal and Torres Strait Islander resources should be purchased authentically to support Aboriginal and Torres Strait Islander communities, with proper acknowledgement given to the artists and their cultural contributions. </w:t>
      </w:r>
    </w:p>
    <w:p w14:paraId="715850B7" w14:textId="77777777" w:rsidR="00983AE2" w:rsidRPr="00983AE2" w:rsidRDefault="00983AE2" w:rsidP="00983AE2">
      <w:pPr>
        <w:pStyle w:val="Heading1"/>
        <w:jc w:val="both"/>
        <w:rPr>
          <w:sz w:val="32"/>
          <w:szCs w:val="32"/>
        </w:rPr>
      </w:pPr>
      <w:r w:rsidRPr="00983AE2">
        <w:rPr>
          <w:sz w:val="32"/>
          <w:szCs w:val="32"/>
        </w:rPr>
        <w:t>Staffing</w:t>
      </w:r>
    </w:p>
    <w:p w14:paraId="641D5EA2" w14:textId="77777777" w:rsidR="00983AE2" w:rsidRPr="00554B17" w:rsidRDefault="00983AE2" w:rsidP="00983AE2">
      <w:pPr>
        <w:jc w:val="both"/>
        <w:rPr>
          <w:rFonts w:eastAsia="Aptos" w:cs="Arial"/>
          <w:sz w:val="21"/>
          <w:szCs w:val="21"/>
        </w:rPr>
      </w:pPr>
      <w:r w:rsidRPr="00554B17">
        <w:rPr>
          <w:rFonts w:eastAsia="Aptos" w:cs="Times New Roman"/>
          <w:sz w:val="21"/>
          <w:szCs w:val="21"/>
        </w:rPr>
        <w:t>Kindy Uplift funding can be used for wages</w:t>
      </w:r>
      <w:r>
        <w:rPr>
          <w:rFonts w:eastAsia="Aptos" w:cs="Times New Roman"/>
          <w:sz w:val="21"/>
          <w:szCs w:val="21"/>
        </w:rPr>
        <w:t xml:space="preserve"> (including internal mentoring and coaching)</w:t>
      </w:r>
      <w:r w:rsidRPr="00554B17">
        <w:rPr>
          <w:rFonts w:eastAsia="Aptos" w:cs="Times New Roman"/>
          <w:sz w:val="21"/>
          <w:szCs w:val="21"/>
        </w:rPr>
        <w:t xml:space="preserve"> that have a direct correlation to planned Kindy Uplift priorities, such as: </w:t>
      </w:r>
    </w:p>
    <w:p w14:paraId="55C46B41"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sidRPr="00554B17">
        <w:rPr>
          <w:rFonts w:eastAsia="Aptos" w:cs="Times New Roman"/>
          <w:sz w:val="21"/>
          <w:szCs w:val="22"/>
        </w:rPr>
        <w:t>backfill for teachers and educators to attend professional development within rostered hours, and</w:t>
      </w:r>
    </w:p>
    <w:p w14:paraId="37421D43" w14:textId="4BEF1FF1" w:rsidR="00983AE2" w:rsidRPr="00983AE2" w:rsidRDefault="00983AE2" w:rsidP="00EE45DA">
      <w:pPr>
        <w:numPr>
          <w:ilvl w:val="1"/>
          <w:numId w:val="3"/>
        </w:numPr>
        <w:tabs>
          <w:tab w:val="left" w:pos="2835"/>
        </w:tabs>
        <w:spacing w:after="0" w:line="240" w:lineRule="auto"/>
        <w:ind w:left="568" w:hanging="284"/>
        <w:contextualSpacing/>
        <w:jc w:val="both"/>
        <w:rPr>
          <w:rFonts w:eastAsia="Aptos" w:cs="Times New Roman"/>
          <w:sz w:val="21"/>
          <w:szCs w:val="22"/>
        </w:rPr>
      </w:pPr>
      <w:r w:rsidRPr="00983AE2">
        <w:rPr>
          <w:rFonts w:eastAsia="Aptos" w:cs="Times New Roman"/>
          <w:sz w:val="21"/>
          <w:szCs w:val="22"/>
        </w:rPr>
        <w:t>remuneration for teachers and educators to attend professional development outside of rostered hours.</w:t>
      </w:r>
    </w:p>
    <w:p w14:paraId="59292E02" w14:textId="77777777" w:rsidR="00983AE2" w:rsidRDefault="00983AE2" w:rsidP="00983AE2">
      <w:pPr>
        <w:jc w:val="both"/>
        <w:rPr>
          <w:rFonts w:eastAsia="Aptos" w:cs="Times New Roman"/>
          <w:sz w:val="21"/>
          <w:szCs w:val="22"/>
        </w:rPr>
      </w:pPr>
    </w:p>
    <w:p w14:paraId="7E69957D" w14:textId="4C399C2C" w:rsidR="00983AE2" w:rsidRPr="00554B17" w:rsidRDefault="00983AE2" w:rsidP="00983AE2">
      <w:pPr>
        <w:jc w:val="both"/>
        <w:rPr>
          <w:rFonts w:eastAsia="Aptos" w:cs="Times New Roman"/>
          <w:sz w:val="21"/>
          <w:szCs w:val="22"/>
        </w:rPr>
      </w:pPr>
      <w:r w:rsidRPr="00554B17">
        <w:rPr>
          <w:rFonts w:eastAsia="Aptos" w:cs="Times New Roman"/>
          <w:sz w:val="21"/>
          <w:szCs w:val="22"/>
        </w:rPr>
        <w:t xml:space="preserve">This does </w:t>
      </w:r>
      <w:r w:rsidRPr="00FA792D">
        <w:rPr>
          <w:rFonts w:eastAsia="Aptos" w:cs="Times New Roman"/>
          <w:b/>
          <w:bCs/>
          <w:color w:val="0F2C51" w:themeColor="text2"/>
          <w:sz w:val="21"/>
          <w:szCs w:val="22"/>
          <w:u w:val="single"/>
        </w:rPr>
        <w:t>not include</w:t>
      </w:r>
      <w:r w:rsidRPr="00FA792D">
        <w:rPr>
          <w:rFonts w:eastAsia="Aptos" w:cs="Times New Roman"/>
          <w:color w:val="0F2C51" w:themeColor="text2"/>
          <w:sz w:val="21"/>
          <w:szCs w:val="22"/>
        </w:rPr>
        <w:t xml:space="preserve"> </w:t>
      </w:r>
      <w:r w:rsidRPr="00554B17">
        <w:rPr>
          <w:rFonts w:eastAsia="Aptos" w:cs="Times New Roman"/>
          <w:sz w:val="21"/>
          <w:szCs w:val="22"/>
        </w:rPr>
        <w:t xml:space="preserve">staffing required for a service’s normal operational obligations under the National Law.  </w:t>
      </w:r>
    </w:p>
    <w:p w14:paraId="3398C815" w14:textId="77777777" w:rsidR="00983AE2" w:rsidRPr="00554B17" w:rsidRDefault="00983AE2" w:rsidP="00983AE2">
      <w:pPr>
        <w:jc w:val="both"/>
        <w:rPr>
          <w:rFonts w:eastAsia="Aptos" w:cs="Times New Roman"/>
          <w:sz w:val="21"/>
          <w:szCs w:val="22"/>
        </w:rPr>
      </w:pPr>
      <w:r w:rsidRPr="00554B17">
        <w:rPr>
          <w:rFonts w:eastAsia="Aptos" w:cs="Arial"/>
          <w:kern w:val="2"/>
          <w:sz w:val="21"/>
          <w:szCs w:val="21"/>
          <w14:ligatures w14:val="standardContextual"/>
        </w:rPr>
        <w:t>Funding can</w:t>
      </w:r>
      <w:r w:rsidRPr="00554B17">
        <w:rPr>
          <w:rFonts w:eastAsia="Aptos" w:cs="Times New Roman"/>
          <w:sz w:val="21"/>
          <w:szCs w:val="22"/>
        </w:rPr>
        <w:t xml:space="preserve"> be allocated to the employment of the following specialist staff to support building teacher and educator capability:</w:t>
      </w:r>
    </w:p>
    <w:p w14:paraId="0740A839"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Pr>
          <w:rFonts w:eastAsia="Aptos" w:cs="Times New Roman"/>
          <w:sz w:val="21"/>
          <w:szCs w:val="22"/>
        </w:rPr>
        <w:t>b</w:t>
      </w:r>
      <w:r w:rsidRPr="00554B17">
        <w:rPr>
          <w:rFonts w:eastAsia="Aptos" w:cs="Times New Roman"/>
          <w:sz w:val="21"/>
          <w:szCs w:val="22"/>
        </w:rPr>
        <w:t>i-cultural support workers</w:t>
      </w:r>
      <w:r>
        <w:rPr>
          <w:rFonts w:eastAsia="Aptos" w:cs="Times New Roman"/>
          <w:sz w:val="21"/>
          <w:szCs w:val="22"/>
        </w:rPr>
        <w:t>,</w:t>
      </w:r>
    </w:p>
    <w:p w14:paraId="568236F9"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Pr>
          <w:rFonts w:eastAsia="Aptos" w:cs="Times New Roman"/>
          <w:sz w:val="21"/>
          <w:szCs w:val="22"/>
        </w:rPr>
        <w:t>c</w:t>
      </w:r>
      <w:r w:rsidRPr="00554B17">
        <w:rPr>
          <w:rFonts w:eastAsia="Aptos" w:cs="Times New Roman"/>
          <w:sz w:val="21"/>
          <w:szCs w:val="22"/>
        </w:rPr>
        <w:t>ultural advisors</w:t>
      </w:r>
      <w:r>
        <w:rPr>
          <w:rFonts w:eastAsia="Aptos" w:cs="Times New Roman"/>
          <w:sz w:val="21"/>
          <w:szCs w:val="22"/>
        </w:rPr>
        <w:t>,</w:t>
      </w:r>
    </w:p>
    <w:p w14:paraId="5C83C4FF"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sidRPr="00554B17">
        <w:rPr>
          <w:rFonts w:eastAsia="Aptos" w:cs="Times New Roman"/>
          <w:sz w:val="21"/>
          <w:szCs w:val="22"/>
        </w:rPr>
        <w:t>Elders-in-Residence</w:t>
      </w:r>
      <w:r>
        <w:rPr>
          <w:rFonts w:eastAsia="Aptos" w:cs="Times New Roman"/>
          <w:sz w:val="21"/>
          <w:szCs w:val="22"/>
        </w:rPr>
        <w:t>,</w:t>
      </w:r>
    </w:p>
    <w:p w14:paraId="462962F9"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Pr>
          <w:rFonts w:eastAsia="Aptos" w:cs="Times New Roman"/>
          <w:sz w:val="21"/>
          <w:szCs w:val="22"/>
        </w:rPr>
        <w:t>f</w:t>
      </w:r>
      <w:r w:rsidRPr="00554B17">
        <w:rPr>
          <w:rFonts w:eastAsia="Aptos" w:cs="Times New Roman"/>
          <w:sz w:val="21"/>
          <w:szCs w:val="22"/>
        </w:rPr>
        <w:t>amily support workers</w:t>
      </w:r>
      <w:r>
        <w:rPr>
          <w:rFonts w:eastAsia="Aptos" w:cs="Times New Roman"/>
          <w:sz w:val="21"/>
          <w:szCs w:val="22"/>
        </w:rPr>
        <w:t xml:space="preserve">, </w:t>
      </w:r>
    </w:p>
    <w:p w14:paraId="3CC6B95B" w14:textId="77777777" w:rsidR="00983AE2" w:rsidRPr="00554B17" w:rsidRDefault="00983AE2" w:rsidP="00983AE2">
      <w:pPr>
        <w:numPr>
          <w:ilvl w:val="1"/>
          <w:numId w:val="3"/>
        </w:numPr>
        <w:tabs>
          <w:tab w:val="left" w:pos="2835"/>
        </w:tabs>
        <w:spacing w:after="0" w:line="240" w:lineRule="auto"/>
        <w:ind w:left="568" w:hanging="284"/>
        <w:contextualSpacing/>
        <w:jc w:val="both"/>
        <w:rPr>
          <w:rFonts w:eastAsia="Aptos" w:cs="Times New Roman"/>
          <w:sz w:val="21"/>
          <w:szCs w:val="22"/>
        </w:rPr>
      </w:pPr>
      <w:r>
        <w:rPr>
          <w:rFonts w:eastAsia="Aptos" w:cs="Times New Roman"/>
          <w:sz w:val="21"/>
          <w:szCs w:val="22"/>
        </w:rPr>
        <w:t>e</w:t>
      </w:r>
      <w:r w:rsidRPr="00373F51">
        <w:rPr>
          <w:rFonts w:eastAsia="Aptos" w:cs="Times New Roman"/>
          <w:sz w:val="21"/>
          <w:szCs w:val="22"/>
        </w:rPr>
        <w:t>xperienced early childhood experts and</w:t>
      </w:r>
      <w:r>
        <w:rPr>
          <w:rFonts w:eastAsia="Aptos" w:cs="Times New Roman"/>
          <w:sz w:val="21"/>
          <w:szCs w:val="22"/>
        </w:rPr>
        <w:t>/or</w:t>
      </w:r>
      <w:r w:rsidRPr="00373F51">
        <w:rPr>
          <w:rFonts w:eastAsia="Aptos" w:cs="Times New Roman"/>
          <w:sz w:val="21"/>
          <w:szCs w:val="22"/>
        </w:rPr>
        <w:t xml:space="preserve"> coaches to mentor and guide educators, strengthening their professional knowledge, pedagogical practice, and confidence in delivering high-quality early learning programs.</w:t>
      </w:r>
    </w:p>
    <w:p w14:paraId="2EC1BC2A" w14:textId="77777777" w:rsidR="00983AE2" w:rsidRDefault="00983AE2" w:rsidP="00983AE2">
      <w:pPr>
        <w:jc w:val="both"/>
        <w:rPr>
          <w:rFonts w:eastAsia="Aptos" w:cs="Arial"/>
          <w:b/>
          <w:bCs/>
          <w:color w:val="0F2C51" w:themeColor="text2"/>
          <w:kern w:val="2"/>
          <w:sz w:val="28"/>
          <w:szCs w:val="28"/>
          <w14:ligatures w14:val="standardContextual"/>
        </w:rPr>
      </w:pPr>
    </w:p>
    <w:p w14:paraId="595C6482" w14:textId="77777777" w:rsidR="00983AE2" w:rsidRPr="00983AE2" w:rsidRDefault="00983AE2" w:rsidP="00983AE2">
      <w:pPr>
        <w:pStyle w:val="Heading1"/>
        <w:jc w:val="both"/>
        <w:rPr>
          <w:sz w:val="32"/>
          <w:szCs w:val="32"/>
        </w:rPr>
      </w:pPr>
      <w:r w:rsidRPr="00983AE2">
        <w:rPr>
          <w:sz w:val="32"/>
          <w:szCs w:val="32"/>
        </w:rPr>
        <w:t>Teacher and educator training and development</w:t>
      </w:r>
    </w:p>
    <w:p w14:paraId="4888B37B" w14:textId="77777777" w:rsidR="00983AE2" w:rsidRPr="008E22DD" w:rsidRDefault="00983AE2" w:rsidP="00983AE2">
      <w:pPr>
        <w:jc w:val="both"/>
        <w:rPr>
          <w:rFonts w:eastAsia="Aptos" w:cs="Times New Roman"/>
          <w:sz w:val="21"/>
          <w:szCs w:val="21"/>
        </w:rPr>
      </w:pPr>
      <w:r w:rsidRPr="008E22DD">
        <w:rPr>
          <w:rFonts w:eastAsia="Aptos" w:cs="Times New Roman"/>
          <w:sz w:val="21"/>
          <w:szCs w:val="21"/>
        </w:rPr>
        <w:t>Allocating funding to improve the skills and knowledge of teachers and educators, to better address educational need and create an inclusive learning environment aligned to the priority areas identified by the service, is acceptable under the spending rules of the program.</w:t>
      </w:r>
    </w:p>
    <w:p w14:paraId="79F25234" w14:textId="77777777" w:rsidR="00983AE2" w:rsidRPr="00983AE2" w:rsidRDefault="00983AE2" w:rsidP="00983AE2">
      <w:pPr>
        <w:pStyle w:val="Heading1"/>
        <w:jc w:val="both"/>
        <w:rPr>
          <w:sz w:val="32"/>
          <w:szCs w:val="32"/>
          <w:lang w:val="en-AU"/>
        </w:rPr>
      </w:pPr>
      <w:bookmarkStart w:id="0" w:name="_Hlk208839322"/>
    </w:p>
    <w:p w14:paraId="3F5A50DF" w14:textId="57B94754" w:rsidR="00983AE2" w:rsidRPr="00983AE2" w:rsidRDefault="00983AE2" w:rsidP="00983AE2">
      <w:pPr>
        <w:pStyle w:val="Heading1"/>
        <w:jc w:val="both"/>
        <w:rPr>
          <w:sz w:val="32"/>
          <w:szCs w:val="32"/>
        </w:rPr>
      </w:pPr>
      <w:r w:rsidRPr="00983AE2">
        <w:rPr>
          <w:sz w:val="32"/>
          <w:szCs w:val="32"/>
        </w:rPr>
        <w:lastRenderedPageBreak/>
        <w:t>Educational resources and materials</w:t>
      </w:r>
      <w:bookmarkEnd w:id="0"/>
    </w:p>
    <w:p w14:paraId="06DD5707" w14:textId="77777777" w:rsidR="00983AE2" w:rsidRDefault="00983AE2" w:rsidP="00983AE2">
      <w:pPr>
        <w:jc w:val="both"/>
        <w:rPr>
          <w:rFonts w:eastAsia="Aptos" w:cs="Times New Roman"/>
          <w:sz w:val="21"/>
          <w:szCs w:val="21"/>
        </w:rPr>
      </w:pPr>
      <w:r w:rsidRPr="00554B17">
        <w:rPr>
          <w:rFonts w:eastAsia="Aptos" w:cs="Times New Roman"/>
          <w:sz w:val="21"/>
          <w:szCs w:val="21"/>
        </w:rPr>
        <w:t xml:space="preserve">Kindy Uplift funding can be used to purchase resources and educational supports that strengthen the professional development of teachers and educators. Expenses must be aligned to the services identified priority areas, address specific needs and enhance the learning experiences of children in the kindergarten cohort. Resources or materials must </w:t>
      </w:r>
      <w:r w:rsidRPr="00FA792D">
        <w:rPr>
          <w:rFonts w:eastAsia="Aptos" w:cs="Times New Roman"/>
          <w:b/>
          <w:bCs/>
          <w:color w:val="0F2C51" w:themeColor="text2"/>
          <w:sz w:val="21"/>
          <w:szCs w:val="21"/>
          <w:u w:val="single"/>
        </w:rPr>
        <w:t xml:space="preserve">build on </w:t>
      </w:r>
      <w:r w:rsidRPr="00554B17">
        <w:rPr>
          <w:rFonts w:eastAsia="Aptos" w:cs="Times New Roman"/>
          <w:sz w:val="21"/>
          <w:szCs w:val="21"/>
        </w:rPr>
        <w:t>any professional learning or capability undertaken by teachers and educators.  Purchasing</w:t>
      </w:r>
      <w:r>
        <w:rPr>
          <w:rFonts w:eastAsia="Aptos" w:cs="Times New Roman"/>
          <w:sz w:val="21"/>
          <w:szCs w:val="21"/>
        </w:rPr>
        <w:t xml:space="preserve"> standalone</w:t>
      </w:r>
      <w:r w:rsidRPr="00554B17">
        <w:rPr>
          <w:rFonts w:eastAsia="Aptos" w:cs="Times New Roman"/>
          <w:sz w:val="21"/>
          <w:szCs w:val="21"/>
        </w:rPr>
        <w:t xml:space="preserve"> </w:t>
      </w:r>
      <w:r>
        <w:rPr>
          <w:rFonts w:eastAsia="Aptos" w:cs="Times New Roman"/>
          <w:sz w:val="21"/>
          <w:szCs w:val="21"/>
        </w:rPr>
        <w:t>m</w:t>
      </w:r>
      <w:r w:rsidRPr="00554B17">
        <w:rPr>
          <w:rFonts w:eastAsia="Aptos" w:cs="Times New Roman"/>
          <w:sz w:val="21"/>
          <w:szCs w:val="21"/>
        </w:rPr>
        <w:t>aterials and resources that are not aligned to Kindy Uplift priorities/professional learning is out of scope.</w:t>
      </w:r>
    </w:p>
    <w:p w14:paraId="74605D1D" w14:textId="77777777" w:rsidR="00983AE2" w:rsidRPr="00983AE2" w:rsidRDefault="00983AE2" w:rsidP="00983AE2">
      <w:pPr>
        <w:pStyle w:val="Heading1"/>
        <w:jc w:val="both"/>
        <w:rPr>
          <w:sz w:val="32"/>
          <w:szCs w:val="32"/>
        </w:rPr>
      </w:pPr>
      <w:r w:rsidRPr="00983AE2">
        <w:rPr>
          <w:sz w:val="32"/>
          <w:szCs w:val="32"/>
        </w:rPr>
        <w:t>Attendance at conferences</w:t>
      </w:r>
    </w:p>
    <w:p w14:paraId="2FE11CDE" w14:textId="77777777" w:rsidR="00983AE2" w:rsidRPr="00554B17" w:rsidRDefault="00983AE2" w:rsidP="00983AE2">
      <w:pPr>
        <w:widowControl w:val="0"/>
        <w:autoSpaceDE w:val="0"/>
        <w:autoSpaceDN w:val="0"/>
        <w:spacing w:before="120"/>
        <w:ind w:right="169"/>
        <w:jc w:val="both"/>
        <w:rPr>
          <w:rFonts w:eastAsia="Aptos" w:cs="Arial"/>
          <w:sz w:val="21"/>
          <w:szCs w:val="21"/>
        </w:rPr>
      </w:pPr>
      <w:r w:rsidRPr="009A5213">
        <w:rPr>
          <w:rFonts w:eastAsia="Calibri" w:cs="Arial"/>
          <w:sz w:val="21"/>
          <w:szCs w:val="21"/>
        </w:rPr>
        <w:t xml:space="preserve">Attendance at Queensland-based conferences is considered in scope if the conference content aligns with the Kindy Uplift priority areas and supports complementary expenditure outlined in Kindy Uplift planning for the same priority area. </w:t>
      </w:r>
      <w:r>
        <w:rPr>
          <w:rFonts w:eastAsia="Calibri" w:cs="Arial"/>
          <w:sz w:val="21"/>
          <w:szCs w:val="21"/>
        </w:rPr>
        <w:t xml:space="preserve"> </w:t>
      </w:r>
      <w:r w:rsidRPr="00554B17">
        <w:rPr>
          <w:rFonts w:eastAsia="Aptos" w:cs="Arial"/>
          <w:sz w:val="21"/>
          <w:szCs w:val="21"/>
        </w:rPr>
        <w:t xml:space="preserve">It is expected that all attendees are representing a service that has identified a priority area covered during the conference and that there will be a measurable outcome </w:t>
      </w:r>
      <w:proofErr w:type="gramStart"/>
      <w:r w:rsidRPr="00554B17">
        <w:rPr>
          <w:rFonts w:eastAsia="Aptos" w:cs="Arial"/>
          <w:sz w:val="21"/>
          <w:szCs w:val="21"/>
        </w:rPr>
        <w:t>as a result of</w:t>
      </w:r>
      <w:proofErr w:type="gramEnd"/>
      <w:r w:rsidRPr="00554B17">
        <w:rPr>
          <w:rFonts w:eastAsia="Aptos" w:cs="Arial"/>
          <w:sz w:val="21"/>
          <w:szCs w:val="21"/>
        </w:rPr>
        <w:t xml:space="preserve"> attendance, including evidence of the distribution of new learning to other staff at the service, for which they are representing.</w:t>
      </w:r>
    </w:p>
    <w:p w14:paraId="6A1D49E3" w14:textId="77777777" w:rsidR="00983AE2" w:rsidRPr="009A5213" w:rsidRDefault="00983AE2" w:rsidP="00983AE2">
      <w:pPr>
        <w:widowControl w:val="0"/>
        <w:autoSpaceDE w:val="0"/>
        <w:autoSpaceDN w:val="0"/>
        <w:spacing w:before="120"/>
        <w:ind w:right="169"/>
        <w:jc w:val="both"/>
        <w:rPr>
          <w:rFonts w:eastAsia="Calibri" w:cs="Arial"/>
          <w:sz w:val="21"/>
          <w:szCs w:val="21"/>
        </w:rPr>
      </w:pPr>
      <w:r w:rsidRPr="009A5213">
        <w:rPr>
          <w:rFonts w:eastAsia="Calibri" w:cs="Arial"/>
          <w:sz w:val="21"/>
          <w:szCs w:val="21"/>
        </w:rPr>
        <w:t>Research suggests that one-off professional learning sessions can be ineffective in driving practice change. This includes conferences, which can be effective for professional development, however, the impact varies significantly based on factors such as relevance of content, participant engagement, follow-up activities and embedding learnings into practice. The size of the conference can also have an impact on these factors. </w:t>
      </w:r>
    </w:p>
    <w:p w14:paraId="00A8701F" w14:textId="77777777" w:rsidR="00983AE2" w:rsidRPr="00983AE2" w:rsidRDefault="00983AE2" w:rsidP="00983AE2">
      <w:pPr>
        <w:pStyle w:val="Heading1"/>
        <w:jc w:val="both"/>
        <w:rPr>
          <w:sz w:val="32"/>
          <w:szCs w:val="32"/>
        </w:rPr>
      </w:pPr>
      <w:r w:rsidRPr="00983AE2">
        <w:rPr>
          <w:sz w:val="32"/>
          <w:szCs w:val="32"/>
        </w:rPr>
        <w:t>Out-of-scope use of Kindy Uplift funding</w:t>
      </w:r>
    </w:p>
    <w:p w14:paraId="58E202E4" w14:textId="77777777" w:rsidR="00983AE2" w:rsidRPr="00554B17" w:rsidRDefault="00983AE2" w:rsidP="00983AE2">
      <w:pPr>
        <w:spacing w:before="120"/>
        <w:jc w:val="both"/>
        <w:rPr>
          <w:rFonts w:eastAsia="Aptos" w:cs="Times New Roman"/>
          <w:sz w:val="21"/>
          <w:szCs w:val="21"/>
        </w:rPr>
      </w:pPr>
      <w:r w:rsidRPr="00554B17">
        <w:rPr>
          <w:rFonts w:eastAsia="Calibri" w:cs="Times New Roman"/>
          <w:sz w:val="21"/>
          <w:szCs w:val="21"/>
        </w:rPr>
        <w:t>While Kindy Uplift gives agency to services to determine the best way to address educational need</w:t>
      </w:r>
      <w:r>
        <w:rPr>
          <w:rFonts w:eastAsia="Calibri" w:cs="Times New Roman"/>
          <w:sz w:val="21"/>
          <w:szCs w:val="21"/>
        </w:rPr>
        <w:t>, t</w:t>
      </w:r>
      <w:r w:rsidRPr="00554B17">
        <w:rPr>
          <w:rFonts w:eastAsia="Calibri" w:cs="Times New Roman"/>
          <w:sz w:val="21"/>
          <w:szCs w:val="21"/>
        </w:rPr>
        <w:t xml:space="preserve">here are a range of </w:t>
      </w:r>
      <w:r w:rsidRPr="00554B17">
        <w:rPr>
          <w:rFonts w:eastAsia="Aptos" w:cs="Times New Roman"/>
          <w:sz w:val="21"/>
          <w:szCs w:val="21"/>
        </w:rPr>
        <w:t xml:space="preserve">funded activities that Kindy Uplift funding </w:t>
      </w:r>
      <w:r w:rsidRPr="00FA792D">
        <w:rPr>
          <w:rFonts w:eastAsia="Aptos" w:cs="Times New Roman"/>
          <w:b/>
          <w:bCs/>
          <w:color w:val="0F2C51" w:themeColor="text2"/>
          <w:sz w:val="21"/>
          <w:szCs w:val="21"/>
          <w:u w:val="single"/>
        </w:rPr>
        <w:t>cannot</w:t>
      </w:r>
      <w:r w:rsidRPr="00554B17">
        <w:rPr>
          <w:rFonts w:eastAsia="Aptos" w:cs="Times New Roman"/>
          <w:b/>
          <w:bCs/>
          <w:sz w:val="21"/>
          <w:szCs w:val="21"/>
        </w:rPr>
        <w:t xml:space="preserve"> </w:t>
      </w:r>
      <w:r w:rsidRPr="00554B17">
        <w:rPr>
          <w:rFonts w:eastAsia="Aptos" w:cs="Times New Roman"/>
          <w:sz w:val="21"/>
          <w:szCs w:val="21"/>
        </w:rPr>
        <w:t>be used for, including:</w:t>
      </w:r>
    </w:p>
    <w:p w14:paraId="7195D66B"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w:t>
      </w:r>
      <w:proofErr w:type="gramStart"/>
      <w:r>
        <w:rPr>
          <w:rFonts w:eastAsia="Aptos" w:cs="Times New Roman"/>
          <w:sz w:val="21"/>
          <w:szCs w:val="21"/>
        </w:rPr>
        <w:t>s</w:t>
      </w:r>
      <w:r w:rsidRPr="00554B17">
        <w:rPr>
          <w:rFonts w:eastAsia="Aptos" w:cs="Times New Roman"/>
          <w:sz w:val="21"/>
          <w:szCs w:val="21"/>
        </w:rPr>
        <w:t>chool</w:t>
      </w:r>
      <w:proofErr w:type="gramEnd"/>
      <w:r w:rsidRPr="00554B17">
        <w:rPr>
          <w:rFonts w:eastAsia="Aptos" w:cs="Times New Roman"/>
          <w:sz w:val="21"/>
          <w:szCs w:val="21"/>
        </w:rPr>
        <w:t xml:space="preserve"> </w:t>
      </w:r>
      <w:r>
        <w:rPr>
          <w:rFonts w:eastAsia="Aptos" w:cs="Times New Roman"/>
          <w:sz w:val="21"/>
          <w:szCs w:val="21"/>
        </w:rPr>
        <w:t>r</w:t>
      </w:r>
      <w:r w:rsidRPr="00554B17">
        <w:rPr>
          <w:rFonts w:eastAsia="Aptos" w:cs="Times New Roman"/>
          <w:sz w:val="21"/>
          <w:szCs w:val="21"/>
        </w:rPr>
        <w:t>eadiness</w:t>
      </w:r>
      <w:r>
        <w:rPr>
          <w:rFonts w:eastAsia="Aptos" w:cs="Times New Roman"/>
          <w:sz w:val="21"/>
          <w:szCs w:val="21"/>
        </w:rPr>
        <w:t>’</w:t>
      </w:r>
      <w:r w:rsidRPr="00554B17">
        <w:rPr>
          <w:rFonts w:eastAsia="Aptos" w:cs="Times New Roman"/>
          <w:sz w:val="21"/>
          <w:szCs w:val="21"/>
        </w:rPr>
        <w:t xml:space="preserve"> programs, checklists, screening or health-related assessments</w:t>
      </w:r>
      <w:r>
        <w:rPr>
          <w:rFonts w:eastAsia="Aptos" w:cs="Times New Roman"/>
          <w:sz w:val="21"/>
          <w:szCs w:val="21"/>
        </w:rPr>
        <w:t>,</w:t>
      </w:r>
    </w:p>
    <w:p w14:paraId="1C4FBA43"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i</w:t>
      </w:r>
      <w:r w:rsidRPr="00554B17">
        <w:rPr>
          <w:rFonts w:eastAsia="Aptos" w:cs="Times New Roman"/>
          <w:sz w:val="21"/>
          <w:szCs w:val="21"/>
        </w:rPr>
        <w:t>ndividualised child-specific programs for assessment, intervention, therapeutic support or referral services</w:t>
      </w:r>
      <w:r>
        <w:rPr>
          <w:rFonts w:eastAsia="Aptos" w:cs="Times New Roman"/>
          <w:sz w:val="21"/>
          <w:szCs w:val="21"/>
        </w:rPr>
        <w:t>,</w:t>
      </w:r>
    </w:p>
    <w:p w14:paraId="39A96BB1"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i</w:t>
      </w:r>
      <w:r w:rsidRPr="00554B17">
        <w:rPr>
          <w:rFonts w:eastAsia="Aptos" w:cs="Times New Roman"/>
          <w:sz w:val="21"/>
          <w:szCs w:val="21"/>
        </w:rPr>
        <w:t>ndividual/targeted support</w:t>
      </w:r>
      <w:r>
        <w:rPr>
          <w:rFonts w:eastAsia="Aptos" w:cs="Times New Roman"/>
          <w:sz w:val="21"/>
          <w:szCs w:val="21"/>
        </w:rPr>
        <w:t xml:space="preserve"> for children,</w:t>
      </w:r>
    </w:p>
    <w:p w14:paraId="3395267D"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c</w:t>
      </w:r>
      <w:r w:rsidRPr="00554B17">
        <w:rPr>
          <w:rFonts w:eastAsia="Aptos" w:cs="Times New Roman"/>
          <w:sz w:val="21"/>
          <w:szCs w:val="21"/>
        </w:rPr>
        <w:t>ompliance, management or financial-related expenses that are normal operational costs of a service</w:t>
      </w:r>
      <w:r>
        <w:rPr>
          <w:rFonts w:eastAsia="Aptos" w:cs="Times New Roman"/>
          <w:sz w:val="21"/>
          <w:szCs w:val="21"/>
        </w:rPr>
        <w:t>,</w:t>
      </w:r>
    </w:p>
    <w:p w14:paraId="7BF2644B"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p</w:t>
      </w:r>
      <w:r w:rsidRPr="00554B17">
        <w:rPr>
          <w:rFonts w:eastAsia="Aptos" w:cs="Times New Roman"/>
          <w:sz w:val="21"/>
          <w:szCs w:val="21"/>
        </w:rPr>
        <w:t>rovision of family support services</w:t>
      </w:r>
      <w:r>
        <w:rPr>
          <w:rFonts w:eastAsia="Aptos" w:cs="Times New Roman"/>
          <w:sz w:val="21"/>
          <w:szCs w:val="21"/>
        </w:rPr>
        <w:t>,</w:t>
      </w:r>
      <w:r w:rsidRPr="00554B17">
        <w:rPr>
          <w:rFonts w:eastAsia="Aptos" w:cs="Times New Roman"/>
          <w:sz w:val="21"/>
          <w:szCs w:val="21"/>
        </w:rPr>
        <w:t xml:space="preserve"> </w:t>
      </w:r>
    </w:p>
    <w:p w14:paraId="1CFE9E1D"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e</w:t>
      </w:r>
      <w:r w:rsidRPr="00554B17">
        <w:rPr>
          <w:rFonts w:eastAsia="Aptos" w:cs="Times New Roman"/>
          <w:sz w:val="21"/>
          <w:szCs w:val="21"/>
        </w:rPr>
        <w:t>xpenses related to a regulatory Assessment and Rating process</w:t>
      </w:r>
      <w:r>
        <w:rPr>
          <w:rFonts w:eastAsia="Aptos" w:cs="Times New Roman"/>
          <w:sz w:val="21"/>
          <w:szCs w:val="21"/>
        </w:rPr>
        <w:t>,</w:t>
      </w:r>
    </w:p>
    <w:p w14:paraId="6F048497"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p</w:t>
      </w:r>
      <w:r w:rsidRPr="00554B17">
        <w:rPr>
          <w:rFonts w:eastAsia="Aptos" w:cs="Times New Roman"/>
          <w:sz w:val="21"/>
          <w:szCs w:val="21"/>
        </w:rPr>
        <w:t>rescribed/mandated staff training</w:t>
      </w:r>
      <w:r>
        <w:rPr>
          <w:rFonts w:eastAsia="Aptos" w:cs="Times New Roman"/>
          <w:sz w:val="21"/>
          <w:szCs w:val="21"/>
        </w:rPr>
        <w:t>,</w:t>
      </w:r>
      <w:r w:rsidRPr="00554B17">
        <w:rPr>
          <w:rFonts w:eastAsia="Aptos" w:cs="Times New Roman"/>
          <w:sz w:val="21"/>
          <w:szCs w:val="21"/>
        </w:rPr>
        <w:t xml:space="preserve"> </w:t>
      </w:r>
    </w:p>
    <w:p w14:paraId="1B5F8EB1" w14:textId="77777777" w:rsidR="00983AE2" w:rsidRPr="00554B17"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Pr>
          <w:rFonts w:eastAsia="Aptos" w:cs="Times New Roman"/>
          <w:sz w:val="21"/>
          <w:szCs w:val="21"/>
        </w:rPr>
        <w:t>s</w:t>
      </w:r>
      <w:r w:rsidRPr="00554B17">
        <w:rPr>
          <w:rFonts w:eastAsia="Aptos" w:cs="Times New Roman"/>
          <w:sz w:val="21"/>
          <w:szCs w:val="21"/>
        </w:rPr>
        <w:t>upplementing teachers and educators for daily planning</w:t>
      </w:r>
      <w:r>
        <w:rPr>
          <w:rFonts w:eastAsia="Aptos" w:cs="Times New Roman"/>
          <w:sz w:val="21"/>
          <w:szCs w:val="21"/>
        </w:rPr>
        <w:t>,</w:t>
      </w:r>
      <w:r w:rsidRPr="00554B17">
        <w:rPr>
          <w:rFonts w:eastAsia="Aptos" w:cs="Times New Roman"/>
          <w:sz w:val="21"/>
          <w:szCs w:val="21"/>
        </w:rPr>
        <w:t xml:space="preserve"> </w:t>
      </w:r>
    </w:p>
    <w:p w14:paraId="3BF1DD44" w14:textId="77777777" w:rsidR="00983AE2"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sidRPr="00554B17">
        <w:rPr>
          <w:rFonts w:eastAsia="Aptos" w:cs="Times New Roman"/>
          <w:sz w:val="21"/>
          <w:szCs w:val="21"/>
        </w:rPr>
        <w:t>‘</w:t>
      </w:r>
      <w:r>
        <w:rPr>
          <w:rFonts w:eastAsia="Aptos" w:cs="Times New Roman"/>
          <w:sz w:val="21"/>
          <w:szCs w:val="21"/>
        </w:rPr>
        <w:t>s</w:t>
      </w:r>
      <w:r w:rsidRPr="00554B17">
        <w:rPr>
          <w:rFonts w:eastAsia="Aptos" w:cs="Times New Roman"/>
          <w:sz w:val="21"/>
          <w:szCs w:val="21"/>
        </w:rPr>
        <w:t>tand-alone’ IT application and/or tool targeted at individual use by children</w:t>
      </w:r>
      <w:r>
        <w:rPr>
          <w:rFonts w:eastAsia="Aptos" w:cs="Times New Roman"/>
          <w:sz w:val="21"/>
          <w:szCs w:val="21"/>
        </w:rPr>
        <w:t>,</w:t>
      </w:r>
    </w:p>
    <w:p w14:paraId="48C23FB0" w14:textId="77777777" w:rsidR="00983AE2"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b/>
          <w:bCs/>
          <w:sz w:val="21"/>
          <w:szCs w:val="22"/>
        </w:rPr>
      </w:pPr>
      <w:r>
        <w:rPr>
          <w:rFonts w:eastAsia="Aptos" w:cs="Times New Roman"/>
          <w:sz w:val="21"/>
          <w:szCs w:val="21"/>
        </w:rPr>
        <w:t>a</w:t>
      </w:r>
      <w:r w:rsidRPr="00972EAD">
        <w:rPr>
          <w:rFonts w:eastAsia="Aptos" w:cs="Times New Roman"/>
          <w:sz w:val="21"/>
          <w:szCs w:val="21"/>
        </w:rPr>
        <w:t>ttendance at large</w:t>
      </w:r>
      <w:r>
        <w:rPr>
          <w:rFonts w:eastAsia="Aptos" w:cs="Times New Roman"/>
          <w:sz w:val="21"/>
          <w:szCs w:val="21"/>
        </w:rPr>
        <w:t xml:space="preserve"> </w:t>
      </w:r>
      <w:r w:rsidRPr="00972EAD">
        <w:rPr>
          <w:rFonts w:eastAsia="Aptos" w:cs="Times New Roman"/>
          <w:sz w:val="21"/>
          <w:szCs w:val="21"/>
        </w:rPr>
        <w:t xml:space="preserve">conferences where the content </w:t>
      </w:r>
      <w:r w:rsidRPr="00972EAD">
        <w:rPr>
          <w:rFonts w:eastAsia="Aptos" w:cs="Times New Roman"/>
          <w:b/>
          <w:bCs/>
          <w:color w:val="0F2C51" w:themeColor="text2"/>
          <w:sz w:val="21"/>
          <w:szCs w:val="21"/>
        </w:rPr>
        <w:t>does not</w:t>
      </w:r>
      <w:r w:rsidRPr="00972EAD">
        <w:rPr>
          <w:rFonts w:eastAsia="Aptos" w:cs="Times New Roman"/>
          <w:color w:val="0F2C51" w:themeColor="text2"/>
          <w:sz w:val="21"/>
          <w:szCs w:val="21"/>
        </w:rPr>
        <w:t xml:space="preserve"> </w:t>
      </w:r>
      <w:r w:rsidRPr="00972EAD">
        <w:rPr>
          <w:rFonts w:eastAsia="Aptos" w:cs="Times New Roman"/>
          <w:sz w:val="21"/>
          <w:szCs w:val="21"/>
        </w:rPr>
        <w:t xml:space="preserve">align with Kindy Uplift priorities of a service and where there is no ongoing practice change or distribution of learning planned as an outcome of attendance. </w:t>
      </w:r>
    </w:p>
    <w:p w14:paraId="5F120F70" w14:textId="77777777" w:rsidR="00983AE2" w:rsidRPr="004631E9" w:rsidRDefault="00983AE2" w:rsidP="00983AE2">
      <w:pPr>
        <w:numPr>
          <w:ilvl w:val="0"/>
          <w:numId w:val="5"/>
        </w:numPr>
        <w:tabs>
          <w:tab w:val="left" w:pos="2835"/>
        </w:tabs>
        <w:spacing w:after="100" w:afterAutospacing="1" w:line="240" w:lineRule="auto"/>
        <w:ind w:left="721" w:hanging="437"/>
        <w:contextualSpacing/>
        <w:jc w:val="both"/>
        <w:rPr>
          <w:rFonts w:eastAsia="Aptos" w:cs="Times New Roman"/>
          <w:sz w:val="21"/>
          <w:szCs w:val="21"/>
        </w:rPr>
      </w:pPr>
      <w:r w:rsidRPr="004631E9">
        <w:rPr>
          <w:rFonts w:eastAsia="Aptos" w:cs="Times New Roman"/>
          <w:sz w:val="21"/>
          <w:szCs w:val="21"/>
        </w:rPr>
        <w:t>Interstate and international conferences.</w:t>
      </w:r>
    </w:p>
    <w:p w14:paraId="52E726FC" w14:textId="77777777" w:rsidR="00983AE2" w:rsidRDefault="00983AE2" w:rsidP="00983AE2">
      <w:pPr>
        <w:tabs>
          <w:tab w:val="left" w:pos="2835"/>
        </w:tabs>
        <w:spacing w:after="100" w:afterAutospacing="1" w:line="240" w:lineRule="auto"/>
        <w:contextualSpacing/>
        <w:jc w:val="both"/>
        <w:rPr>
          <w:rFonts w:eastAsia="Aptos" w:cs="Times New Roman"/>
          <w:sz w:val="21"/>
          <w:szCs w:val="21"/>
        </w:rPr>
      </w:pPr>
    </w:p>
    <w:sectPr w:rsidR="00983AE2" w:rsidSect="00983AE2">
      <w:headerReference w:type="first" r:id="rId13"/>
      <w:pgSz w:w="11900" w:h="16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13CD" w14:textId="77777777" w:rsidR="00F765A4" w:rsidRDefault="00F765A4" w:rsidP="00190C24">
      <w:r>
        <w:separator/>
      </w:r>
    </w:p>
  </w:endnote>
  <w:endnote w:type="continuationSeparator" w:id="0">
    <w:p w14:paraId="76A6FEB4" w14:textId="77777777" w:rsidR="00F765A4" w:rsidRDefault="00F765A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OT-Norm">
    <w:altName w:val="Cambria"/>
    <w:panose1 w:val="00000000000000000000"/>
    <w:charset w:val="4D"/>
    <w:family w:val="swiss"/>
    <w:notTrueType/>
    <w:pitch w:val="variable"/>
    <w:sig w:usb0="800000EF" w:usb1="4000207B"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30D9" w14:textId="77777777" w:rsidR="00F765A4" w:rsidRDefault="00F765A4" w:rsidP="00190C24">
      <w:r>
        <w:separator/>
      </w:r>
    </w:p>
  </w:footnote>
  <w:footnote w:type="continuationSeparator" w:id="0">
    <w:p w14:paraId="22FD608A" w14:textId="77777777" w:rsidR="00F765A4" w:rsidRDefault="00F765A4"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95C" w14:textId="77777777" w:rsidR="00146DA4" w:rsidRDefault="00294D52">
    <w:pPr>
      <w:pStyle w:val="Header"/>
    </w:pPr>
    <w:r>
      <w:rPr>
        <w:noProof/>
      </w:rPr>
      <w:drawing>
        <wp:anchor distT="0" distB="0" distL="114300" distR="114300" simplePos="0" relativeHeight="251662336" behindDoc="1" locked="0" layoutInCell="1" allowOverlap="1" wp14:anchorId="7E661C09" wp14:editId="235AC987">
          <wp:simplePos x="0" y="0"/>
          <wp:positionH relativeFrom="column">
            <wp:posOffset>-775970</wp:posOffset>
          </wp:positionH>
          <wp:positionV relativeFrom="page">
            <wp:align>top</wp:align>
          </wp:positionV>
          <wp:extent cx="7557652" cy="10682331"/>
          <wp:effectExtent l="0" t="0" r="571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9DD065E"/>
    <w:multiLevelType w:val="hybridMultilevel"/>
    <w:tmpl w:val="0C3220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47FD794B"/>
    <w:multiLevelType w:val="hybridMultilevel"/>
    <w:tmpl w:val="65586F98"/>
    <w:lvl w:ilvl="0" w:tplc="D2A6CEF4">
      <w:start w:val="1"/>
      <w:numFmt w:val="bullet"/>
      <w:lvlText w:val=""/>
      <w:lvlJc w:val="left"/>
      <w:pPr>
        <w:ind w:left="720" w:hanging="360"/>
      </w:pPr>
      <w:rPr>
        <w:rFonts w:ascii="Symbol" w:hAnsi="Symbol" w:hint="default"/>
        <w:sz w:val="20"/>
      </w:rPr>
    </w:lvl>
    <w:lvl w:ilvl="1" w:tplc="D2A6CEF4">
      <w:start w:val="1"/>
      <w:numFmt w:val="bullet"/>
      <w:lvlText w:val=""/>
      <w:lvlJc w:val="left"/>
      <w:pPr>
        <w:ind w:left="1440" w:hanging="360"/>
      </w:pPr>
      <w:rPr>
        <w:rFonts w:ascii="Symbol" w:hAnsi="Symbo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4DF2437"/>
    <w:multiLevelType w:val="hybridMultilevel"/>
    <w:tmpl w:val="2F44B5D4"/>
    <w:lvl w:ilvl="0" w:tplc="A34C29E8">
      <w:numFmt w:val="bullet"/>
      <w:lvlText w:val="•"/>
      <w:lvlJc w:val="left"/>
      <w:pPr>
        <w:ind w:left="720" w:hanging="360"/>
      </w:pPr>
      <w:rPr>
        <w:rFonts w:ascii="Arial" w:eastAsiaTheme="minorEastAsia" w:hAnsi="Arial" w:hint="default"/>
        <w:sz w:val="22"/>
      </w:rPr>
    </w:lvl>
    <w:lvl w:ilvl="1" w:tplc="D2A6CEF4">
      <w:start w:val="1"/>
      <w:numFmt w:val="bullet"/>
      <w:lvlText w:val=""/>
      <w:lvlJc w:val="left"/>
      <w:pPr>
        <w:ind w:left="1440" w:hanging="360"/>
      </w:pPr>
      <w:rPr>
        <w:rFonts w:ascii="Symbol" w:hAnsi="Symbo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1688844">
    <w:abstractNumId w:val="0"/>
  </w:num>
  <w:num w:numId="2" w16cid:durableId="328338790">
    <w:abstractNumId w:val="3"/>
  </w:num>
  <w:num w:numId="3" w16cid:durableId="1501653705">
    <w:abstractNumId w:val="4"/>
  </w:num>
  <w:num w:numId="4" w16cid:durableId="841703558">
    <w:abstractNumId w:val="1"/>
  </w:num>
  <w:num w:numId="5" w16cid:durableId="134613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F4"/>
    <w:rsid w:val="0002155B"/>
    <w:rsid w:val="000425F7"/>
    <w:rsid w:val="000436FC"/>
    <w:rsid w:val="00097BF2"/>
    <w:rsid w:val="000B38A9"/>
    <w:rsid w:val="000B61AC"/>
    <w:rsid w:val="000F7FDE"/>
    <w:rsid w:val="00146DA4"/>
    <w:rsid w:val="00190C24"/>
    <w:rsid w:val="001B5F63"/>
    <w:rsid w:val="001E14E9"/>
    <w:rsid w:val="001F71C5"/>
    <w:rsid w:val="002371F7"/>
    <w:rsid w:val="002712BD"/>
    <w:rsid w:val="0028699C"/>
    <w:rsid w:val="00292CD3"/>
    <w:rsid w:val="00294D52"/>
    <w:rsid w:val="00294F69"/>
    <w:rsid w:val="002967F5"/>
    <w:rsid w:val="002C3128"/>
    <w:rsid w:val="002D0548"/>
    <w:rsid w:val="002F78A2"/>
    <w:rsid w:val="00325E27"/>
    <w:rsid w:val="00326F8F"/>
    <w:rsid w:val="00385A56"/>
    <w:rsid w:val="003E7BD0"/>
    <w:rsid w:val="003F643A"/>
    <w:rsid w:val="00404BCA"/>
    <w:rsid w:val="00477540"/>
    <w:rsid w:val="004F491F"/>
    <w:rsid w:val="00580721"/>
    <w:rsid w:val="005F4331"/>
    <w:rsid w:val="006004F3"/>
    <w:rsid w:val="006239A5"/>
    <w:rsid w:val="00634F23"/>
    <w:rsid w:val="00636B71"/>
    <w:rsid w:val="00646271"/>
    <w:rsid w:val="006C3D8E"/>
    <w:rsid w:val="0078451A"/>
    <w:rsid w:val="00787503"/>
    <w:rsid w:val="007915C0"/>
    <w:rsid w:val="007A156C"/>
    <w:rsid w:val="007A78CA"/>
    <w:rsid w:val="007E5459"/>
    <w:rsid w:val="0080579A"/>
    <w:rsid w:val="00857E64"/>
    <w:rsid w:val="008B0A51"/>
    <w:rsid w:val="008E357C"/>
    <w:rsid w:val="00907963"/>
    <w:rsid w:val="00920CF2"/>
    <w:rsid w:val="009378E6"/>
    <w:rsid w:val="0096078C"/>
    <w:rsid w:val="0096595E"/>
    <w:rsid w:val="00983956"/>
    <w:rsid w:val="00983AE2"/>
    <w:rsid w:val="00996877"/>
    <w:rsid w:val="009B7893"/>
    <w:rsid w:val="009E5EE5"/>
    <w:rsid w:val="009F02B3"/>
    <w:rsid w:val="00A47F67"/>
    <w:rsid w:val="00A64073"/>
    <w:rsid w:val="00A65710"/>
    <w:rsid w:val="00A7148C"/>
    <w:rsid w:val="00A842C4"/>
    <w:rsid w:val="00AB0A25"/>
    <w:rsid w:val="00AB2B9D"/>
    <w:rsid w:val="00AC050A"/>
    <w:rsid w:val="00AC42F2"/>
    <w:rsid w:val="00AC555D"/>
    <w:rsid w:val="00AD2501"/>
    <w:rsid w:val="00AD4191"/>
    <w:rsid w:val="00B10C8F"/>
    <w:rsid w:val="00B33337"/>
    <w:rsid w:val="00B8699D"/>
    <w:rsid w:val="00B9771E"/>
    <w:rsid w:val="00BC4AA9"/>
    <w:rsid w:val="00C0519D"/>
    <w:rsid w:val="00C60449"/>
    <w:rsid w:val="00C6219C"/>
    <w:rsid w:val="00C92220"/>
    <w:rsid w:val="00CB07AD"/>
    <w:rsid w:val="00CD793C"/>
    <w:rsid w:val="00D01CD2"/>
    <w:rsid w:val="00D04EC0"/>
    <w:rsid w:val="00D67137"/>
    <w:rsid w:val="00D75050"/>
    <w:rsid w:val="00D842DF"/>
    <w:rsid w:val="00DC5E03"/>
    <w:rsid w:val="00DD161D"/>
    <w:rsid w:val="00E41A5E"/>
    <w:rsid w:val="00E82F96"/>
    <w:rsid w:val="00ED132B"/>
    <w:rsid w:val="00EF0240"/>
    <w:rsid w:val="00EF474F"/>
    <w:rsid w:val="00EF4AC5"/>
    <w:rsid w:val="00F23FF4"/>
    <w:rsid w:val="00F367B3"/>
    <w:rsid w:val="00F42B29"/>
    <w:rsid w:val="00F447A2"/>
    <w:rsid w:val="00F765A4"/>
    <w:rsid w:val="00FC7D81"/>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12AD3"/>
  <w15:chartTrackingRefBased/>
  <w15:docId w15:val="{CF186750-AF0D-9942-864C-E435D209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F23FF4"/>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F23FF4"/>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F23FF4"/>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F23FF4"/>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23FF4"/>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F23FF4"/>
    <w:rPr>
      <w:rFonts w:ascii="Arial" w:hAnsi="Arial" w:cs="Arial"/>
      <w:bCs/>
      <w:color w:val="1B5899"/>
      <w:sz w:val="32"/>
      <w:szCs w:val="40"/>
    </w:rPr>
  </w:style>
  <w:style w:type="character" w:customStyle="1" w:styleId="Heading3Char">
    <w:name w:val="Heading 3 Char"/>
    <w:basedOn w:val="DefaultParagraphFont"/>
    <w:link w:val="Heading3"/>
    <w:uiPriority w:val="9"/>
    <w:rsid w:val="00F23FF4"/>
    <w:rPr>
      <w:rFonts w:ascii="Arial" w:hAnsi="Arial" w:cs="Arial"/>
      <w:bCs/>
      <w:color w:val="1B5899"/>
      <w:sz w:val="28"/>
      <w:szCs w:val="28"/>
    </w:rPr>
  </w:style>
  <w:style w:type="character" w:customStyle="1" w:styleId="Heading4Char">
    <w:name w:val="Heading 4 Char"/>
    <w:basedOn w:val="DefaultParagraphFont"/>
    <w:link w:val="Heading4"/>
    <w:uiPriority w:val="9"/>
    <w:rsid w:val="00F23FF4"/>
    <w:rPr>
      <w:rFonts w:ascii="Arial" w:hAnsi="Arial" w:cs="Arial"/>
      <w:b/>
      <w:bCs/>
      <w:i/>
      <w:iCs/>
      <w:color w:val="1B5899"/>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Hyperlink">
    <w:name w:val="Hyperlink"/>
    <w:basedOn w:val="DefaultParagraphFont"/>
    <w:uiPriority w:val="99"/>
    <w:unhideWhenUsed/>
    <w:rsid w:val="00787503"/>
    <w:rPr>
      <w:color w:val="0091C7" w:themeColor="hyperlink"/>
      <w:u w:val="single"/>
    </w:rPr>
  </w:style>
  <w:style w:type="character" w:styleId="UnresolvedMention">
    <w:name w:val="Unresolved Mention"/>
    <w:basedOn w:val="DefaultParagraphFont"/>
    <w:uiPriority w:val="99"/>
    <w:rsid w:val="00787503"/>
    <w:rPr>
      <w:color w:val="605E5C"/>
      <w:shd w:val="clear" w:color="auto" w:fill="E1DFDD"/>
    </w:rPr>
  </w:style>
  <w:style w:type="character" w:styleId="FollowedHyperlink">
    <w:name w:val="FollowedHyperlink"/>
    <w:basedOn w:val="DefaultParagraphFont"/>
    <w:uiPriority w:val="99"/>
    <w:semiHidden/>
    <w:unhideWhenUsed/>
    <w:rsid w:val="00787503"/>
    <w:rPr>
      <w:color w:val="482366" w:themeColor="followedHyperlink"/>
      <w:u w:val="single"/>
    </w:rPr>
  </w:style>
  <w:style w:type="character" w:styleId="CommentReference">
    <w:name w:val="annotation reference"/>
    <w:basedOn w:val="DefaultParagraphFont"/>
    <w:uiPriority w:val="99"/>
    <w:semiHidden/>
    <w:unhideWhenUsed/>
    <w:rsid w:val="00983AE2"/>
    <w:rPr>
      <w:sz w:val="16"/>
      <w:szCs w:val="16"/>
    </w:rPr>
  </w:style>
  <w:style w:type="paragraph" w:styleId="CommentText">
    <w:name w:val="annotation text"/>
    <w:basedOn w:val="Normal"/>
    <w:link w:val="CommentTextChar"/>
    <w:uiPriority w:val="99"/>
    <w:unhideWhenUsed/>
    <w:rsid w:val="00983AE2"/>
    <w:pPr>
      <w:spacing w:line="240" w:lineRule="auto"/>
    </w:pPr>
    <w:rPr>
      <w:rFonts w:eastAsia="Aptos"/>
      <w:sz w:val="20"/>
      <w:szCs w:val="20"/>
    </w:rPr>
  </w:style>
  <w:style w:type="character" w:customStyle="1" w:styleId="CommentTextChar">
    <w:name w:val="Comment Text Char"/>
    <w:basedOn w:val="DefaultParagraphFont"/>
    <w:link w:val="CommentText"/>
    <w:uiPriority w:val="99"/>
    <w:rsid w:val="00983AE2"/>
    <w:rPr>
      <w:rFonts w:ascii="Arial" w:eastAsia="Aptos"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lynation.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icn.org.au/bb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687c0ba5-25f6-467d-a8e9-4285ca7a69ae">
      <UserInfo>
        <DisplayName/>
        <AccountId xsi:nil="true"/>
        <AccountType/>
      </UserInfo>
    </PPContentApprover>
    <PPLastReviewedBy xmlns="687c0ba5-25f6-467d-a8e9-4285ca7a69ae">
      <UserInfo>
        <DisplayName>MCINTOSH, Alex</DisplayName>
        <AccountId>28</AccountId>
        <AccountType/>
      </UserInfo>
    </PPLastReviewedBy>
    <PPModeratedBy xmlns="687c0ba5-25f6-467d-a8e9-4285ca7a69ae">
      <UserInfo>
        <DisplayName>MCINTOSH, Alex</DisplayName>
        <AccountId>28</AccountId>
        <AccountType/>
      </UserInfo>
    </PPModeratedBy>
    <PPSubmittedBy xmlns="687c0ba5-25f6-467d-a8e9-4285ca7a69ae">
      <UserInfo>
        <DisplayName/>
        <AccountId xsi:nil="true"/>
        <AccountType/>
      </UserInfo>
    </PPSubmittedBy>
    <PPReferenceNumber xmlns="687c0ba5-25f6-467d-a8e9-4285ca7a69ae" xsi:nil="true"/>
    <PPModeratedDate xmlns="687c0ba5-25f6-467d-a8e9-4285ca7a69ae">2026-01-23T05:44:34+00:00</PPModeratedDate>
    <PPLastReviewedDate xmlns="687c0ba5-25f6-467d-a8e9-4285ca7a69ae">2026-01-23T05:44:34+00:00</PPLastReviewedDate>
    <PPContentAuthor xmlns="687c0ba5-25f6-467d-a8e9-4285ca7a69ae">
      <UserInfo>
        <DisplayName/>
        <AccountId xsi:nil="true"/>
        <AccountType/>
      </UserInfo>
    </PPContentAuthor>
    <PPContentOwner xmlns="687c0ba5-25f6-467d-a8e9-4285ca7a69ae">
      <UserInfo>
        <DisplayName>Tony TRANCHIDA</DisplayName>
        <AccountId>192</AccountId>
        <AccountType/>
      </UserInfo>
    </PPContentOwner>
    <PPSubmittedDate xmlns="687c0ba5-25f6-467d-a8e9-4285ca7a69ae" xsi:nil="true"/>
    <PPPublishedNotificationAddresses xmlns="687c0ba5-25f6-467d-a8e9-4285ca7a69ae" xsi:nil="true"/>
    <PPReviewDate xmlns="687c0ba5-25f6-467d-a8e9-4285ca7a69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2.xml><?xml version="1.0" encoding="utf-8"?>
<ds:datastoreItem xmlns:ds="http://schemas.openxmlformats.org/officeDocument/2006/customXml" ds:itemID="{11989C01-B399-478D-A9EE-16B31B65021A}"/>
</file>

<file path=customXml/itemProps3.xml><?xml version="1.0" encoding="utf-8"?>
<ds:datastoreItem xmlns:ds="http://schemas.openxmlformats.org/officeDocument/2006/customXml" ds:itemID="{EFDA19C9-F808-45D8-A2A8-321915E0DDBA}">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4.xml><?xml version="1.0" encoding="utf-8"?>
<ds:datastoreItem xmlns:ds="http://schemas.openxmlformats.org/officeDocument/2006/customXml" ds:itemID="{127AB2FD-96D8-4F84-B8F6-233F5EC4AC31}"/>
</file>

<file path=docProps/app.xml><?xml version="1.0" encoding="utf-8"?>
<Properties xmlns="http://schemas.openxmlformats.org/officeDocument/2006/extended-properties" xmlns:vt="http://schemas.openxmlformats.org/officeDocument/2006/docPropsVTypes">
  <Template>Normal.dotm</Template>
  <TotalTime>12</TotalTime>
  <Pages>2</Pages>
  <Words>754</Words>
  <Characters>4330</Characters>
  <Application>Microsoft Office Word</Application>
  <DocSecurity>0</DocSecurity>
  <Lines>127</Lines>
  <Paragraphs>61</Paragraphs>
  <ScaleCrop>false</ScaleCrop>
  <HeadingPairs>
    <vt:vector size="2" baseType="variant">
      <vt:variant>
        <vt:lpstr>Title</vt:lpstr>
      </vt:variant>
      <vt:variant>
        <vt:i4>1</vt:i4>
      </vt:variant>
    </vt:vector>
  </HeadingPairs>
  <TitlesOfParts>
    <vt:vector size="1" baseType="lpstr">
      <vt:lpstr>Queensland Government brand book A4 page portrait</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scope use of Kindy Uplift funding</dc:title>
  <dc:subject/>
  <dc:creator>Queensland Govenrment</dc:creator>
  <cp:keywords>In scope use; Kindy Uplift; funding;</cp:keywords>
  <dc:description/>
  <cp:revision>4</cp:revision>
  <cp:lastPrinted>2018-01-16T02:55:00Z</cp:lastPrinted>
  <dcterms:created xsi:type="dcterms:W3CDTF">2025-12-11T05:39:00Z</dcterms:created>
  <dcterms:modified xsi:type="dcterms:W3CDTF">2026-01-22T05:30:00Z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0x01010052B021C68C90BF409F04C9D9C2B68AF7</vt:lpwstr>
  </property>
</Properties>
</file>