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78CC" w14:textId="20712A5A" w:rsidR="005D5CD7" w:rsidRPr="00647F1E" w:rsidRDefault="005D5CD7" w:rsidP="005E2C8C">
      <w:pPr>
        <w:pStyle w:val="Heading2"/>
        <w:spacing w:before="0" w:after="0" w:line="240" w:lineRule="auto"/>
        <w:rPr>
          <w:b/>
          <w:bCs w:val="0"/>
          <w:szCs w:val="32"/>
        </w:rPr>
      </w:pPr>
      <w:r w:rsidRPr="00647F1E">
        <w:rPr>
          <w:b/>
          <w:bCs w:val="0"/>
          <w:noProof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74FEC8" wp14:editId="4B861600">
                <wp:simplePos x="0" y="0"/>
                <wp:positionH relativeFrom="margin">
                  <wp:align>left</wp:align>
                </wp:positionH>
                <wp:positionV relativeFrom="page">
                  <wp:posOffset>896620</wp:posOffset>
                </wp:positionV>
                <wp:extent cx="14135100" cy="4064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063BD" w14:textId="7E50F26B" w:rsidR="005D5CD7" w:rsidRPr="005E2C8C" w:rsidRDefault="005E2C8C" w:rsidP="005D5CD7">
                            <w:pPr>
                              <w:pStyle w:val="Heading1"/>
                              <w:tabs>
                                <w:tab w:val="left" w:pos="3119"/>
                              </w:tabs>
                              <w:rPr>
                                <w:sz w:val="36"/>
                                <w:szCs w:val="36"/>
                              </w:rPr>
                            </w:pPr>
                            <w:r w:rsidRPr="005E2C8C">
                              <w:rPr>
                                <w:sz w:val="36"/>
                                <w:szCs w:val="36"/>
                              </w:rPr>
                              <w:t xml:space="preserve">Kindy Uplift planning – </w:t>
                            </w:r>
                            <w:r w:rsidR="003D2CAA">
                              <w:rPr>
                                <w:sz w:val="36"/>
                                <w:szCs w:val="36"/>
                              </w:rPr>
                              <w:t xml:space="preserve">Support Resource for step </w:t>
                            </w:r>
                            <w:r w:rsidR="0081430B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="003D2CAA">
                              <w:rPr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81430B">
                              <w:rPr>
                                <w:sz w:val="36"/>
                                <w:szCs w:val="36"/>
                              </w:rPr>
                              <w:t xml:space="preserve">Evaluation and Critical Reflection </w:t>
                            </w:r>
                            <w:r w:rsidRPr="005E2C8C">
                              <w:rPr>
                                <w:sz w:val="36"/>
                                <w:szCs w:val="3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4FE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0.6pt;width:1113pt;height:3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" filled="f" stroked="f">
                <v:textbox inset="0,0,0,0">
                  <w:txbxContent>
                    <w:p w14:paraId="052063BD" w14:textId="7E50F26B" w:rsidR="005D5CD7" w:rsidRPr="005E2C8C" w:rsidRDefault="005E2C8C" w:rsidP="005D5CD7">
                      <w:pPr>
                        <w:pStyle w:val="Heading1"/>
                        <w:tabs>
                          <w:tab w:val="left" w:pos="3119"/>
                        </w:tabs>
                        <w:rPr>
                          <w:sz w:val="36"/>
                          <w:szCs w:val="36"/>
                        </w:rPr>
                      </w:pPr>
                      <w:r w:rsidRPr="005E2C8C">
                        <w:rPr>
                          <w:sz w:val="36"/>
                          <w:szCs w:val="36"/>
                        </w:rPr>
                        <w:t xml:space="preserve">Kindy Uplift planning – </w:t>
                      </w:r>
                      <w:r w:rsidR="003D2CAA">
                        <w:rPr>
                          <w:sz w:val="36"/>
                          <w:szCs w:val="36"/>
                        </w:rPr>
                        <w:t xml:space="preserve">Support Resource for step </w:t>
                      </w:r>
                      <w:r w:rsidR="0081430B">
                        <w:rPr>
                          <w:sz w:val="36"/>
                          <w:szCs w:val="36"/>
                        </w:rPr>
                        <w:t>4</w:t>
                      </w:r>
                      <w:r w:rsidR="003D2CAA">
                        <w:rPr>
                          <w:sz w:val="36"/>
                          <w:szCs w:val="36"/>
                        </w:rPr>
                        <w:t xml:space="preserve"> – </w:t>
                      </w:r>
                      <w:r w:rsidR="0081430B">
                        <w:rPr>
                          <w:sz w:val="36"/>
                          <w:szCs w:val="36"/>
                        </w:rPr>
                        <w:t xml:space="preserve">Evaluation and Critical Reflection </w:t>
                      </w:r>
                      <w:r w:rsidRPr="005E2C8C">
                        <w:rPr>
                          <w:sz w:val="36"/>
                          <w:szCs w:val="36"/>
                        </w:rPr>
                        <w:t>template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E2C8C" w:rsidRPr="00647F1E">
        <w:rPr>
          <w:b/>
          <w:bCs w:val="0"/>
          <w:szCs w:val="32"/>
        </w:rPr>
        <w:t>Kindy Name:</w:t>
      </w:r>
    </w:p>
    <w:p w14:paraId="6C774159" w14:textId="74F4EEF9" w:rsidR="005D5CD7" w:rsidRDefault="005E2C8C" w:rsidP="00647F1E">
      <w:pPr>
        <w:rPr>
          <w:rFonts w:cs="Arial"/>
          <w:b/>
          <w:color w:val="1B5899"/>
          <w:sz w:val="32"/>
          <w:szCs w:val="32"/>
        </w:rPr>
      </w:pPr>
      <w:r w:rsidRPr="003D2CAA">
        <w:rPr>
          <w:rFonts w:cs="Arial"/>
          <w:b/>
          <w:color w:val="1B5899"/>
          <w:sz w:val="32"/>
          <w:szCs w:val="32"/>
        </w:rPr>
        <w:t xml:space="preserve">Advisory Support Contact: </w:t>
      </w:r>
    </w:p>
    <w:p w14:paraId="4D3CDE47" w14:textId="5791BC4C" w:rsidR="0081430B" w:rsidRDefault="0081430B" w:rsidP="00F31640">
      <w:pPr>
        <w:spacing w:after="0"/>
        <w:rPr>
          <w:lang w:val="en-US"/>
        </w:rPr>
      </w:pPr>
      <w:r w:rsidRPr="0081430B">
        <w:rPr>
          <w:rFonts w:eastAsia="Aptos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540DA" wp14:editId="0CF19A63">
                <wp:simplePos x="0" y="0"/>
                <wp:positionH relativeFrom="margin">
                  <wp:align>left</wp:align>
                </wp:positionH>
                <wp:positionV relativeFrom="paragraph">
                  <wp:posOffset>452120</wp:posOffset>
                </wp:positionV>
                <wp:extent cx="14058900" cy="800100"/>
                <wp:effectExtent l="0" t="0" r="0" b="0"/>
                <wp:wrapNone/>
                <wp:docPr id="5879238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0" cy="800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5EB8"/>
                            </a:gs>
                            <a:gs pos="100000">
                              <a:srgbClr val="005EB8">
                                <a:lumMod val="50000"/>
                              </a:srgbClr>
                            </a:gs>
                          </a:gsLst>
                          <a:lin ang="0" scaled="0"/>
                        </a:gradFill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1319B" id="Rectangle 2" o:spid="_x0000_s1026" style="position:absolute;margin-left:0;margin-top:35.6pt;width:1107pt;height:6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" fillcolor="#005eb8" stroked="f" strokeweight="1.25pt">
                <v:fill color2="#002f5c" angle="90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BE465B">
        <w:rPr>
          <w:rFonts w:eastAsia="Aptos" w:cs="Arial"/>
          <w:sz w:val="21"/>
          <w:szCs w:val="21"/>
        </w:rPr>
        <w:t>Once you have completed your plan</w:t>
      </w:r>
      <w:r>
        <w:rPr>
          <w:rFonts w:eastAsia="Aptos" w:cs="Arial"/>
          <w:sz w:val="21"/>
          <w:szCs w:val="21"/>
        </w:rPr>
        <w:t>ning</w:t>
      </w:r>
      <w:r w:rsidRPr="00BE465B">
        <w:rPr>
          <w:rFonts w:eastAsia="Aptos" w:cs="Arial"/>
          <w:sz w:val="21"/>
          <w:szCs w:val="21"/>
        </w:rPr>
        <w:t xml:space="preserve">, it is important to continuously review and discuss throughout the year to ensure your plan is meeting the intended outcomes. Evaluation and critical reflection help to understand whether the service’s Kindy Uplift </w:t>
      </w:r>
      <w:r>
        <w:rPr>
          <w:rFonts w:eastAsia="Aptos" w:cs="Arial"/>
          <w:sz w:val="21"/>
          <w:szCs w:val="21"/>
        </w:rPr>
        <w:t>funding</w:t>
      </w:r>
      <w:r w:rsidRPr="00BE465B">
        <w:rPr>
          <w:rFonts w:eastAsia="Aptos" w:cs="Arial"/>
          <w:sz w:val="21"/>
          <w:szCs w:val="21"/>
        </w:rPr>
        <w:t xml:space="preserve"> is being implemented as intended and recognises achievements and progress towards the outcomes, at a point in time</w:t>
      </w:r>
      <w:r>
        <w:rPr>
          <w:rFonts w:eastAsia="Aptos" w:cs="Arial"/>
          <w:sz w:val="21"/>
          <w:szCs w:val="21"/>
        </w:rPr>
        <w:t>.</w:t>
      </w:r>
    </w:p>
    <w:p w14:paraId="3F445304" w14:textId="3EDE24E5" w:rsidR="0081430B" w:rsidRPr="0081430B" w:rsidRDefault="0081430B" w:rsidP="00647F1E">
      <w:pPr>
        <w:rPr>
          <w:rFonts w:cs="Arial"/>
          <w:b/>
          <w:bCs/>
          <w:color w:val="1B5899"/>
          <w:sz w:val="32"/>
          <w:szCs w:val="32"/>
          <w:lang w:val="en-US" w:eastAsia="en-AU"/>
        </w:rPr>
      </w:pPr>
      <w:r w:rsidRPr="00BE465B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65F5D873" wp14:editId="4CC9A48E">
            <wp:simplePos x="0" y="0"/>
            <wp:positionH relativeFrom="column">
              <wp:posOffset>396240</wp:posOffset>
            </wp:positionH>
            <wp:positionV relativeFrom="paragraph">
              <wp:posOffset>43180</wp:posOffset>
            </wp:positionV>
            <wp:extent cx="389329" cy="500380"/>
            <wp:effectExtent l="76200" t="38100" r="80645" b="58420"/>
            <wp:wrapNone/>
            <wp:docPr id="1133406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0636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0435469">
                      <a:off x="0" y="0"/>
                      <a:ext cx="389329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A4E">
        <w:rPr>
          <w:rFonts w:eastAsia="Aptos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2307C" wp14:editId="3BB2C316">
                <wp:simplePos x="0" y="0"/>
                <wp:positionH relativeFrom="margin">
                  <wp:posOffset>1188720</wp:posOffset>
                </wp:positionH>
                <wp:positionV relativeFrom="paragraph">
                  <wp:posOffset>73660</wp:posOffset>
                </wp:positionV>
                <wp:extent cx="12412980" cy="654050"/>
                <wp:effectExtent l="0" t="0" r="0" b="0"/>
                <wp:wrapNone/>
                <wp:docPr id="18820607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298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5C7C8" w14:textId="77777777" w:rsidR="0081430B" w:rsidRPr="00054693" w:rsidRDefault="0081430B" w:rsidP="0081430B">
                            <w:pPr>
                              <w:spacing w:before="160" w:line="264" w:lineRule="auto"/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054693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You can use the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e</w:t>
                            </w:r>
                            <w:r w:rsidRPr="00054693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valuation and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c</w:t>
                            </w:r>
                            <w:r w:rsidRPr="00054693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ritical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r</w:t>
                            </w:r>
                            <w:r w:rsidRPr="00054693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eflection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t</w:t>
                            </w:r>
                            <w:r w:rsidRPr="00054693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emplate provided as a supporting resource to achieve this, or you may choose to do this in a way that best suits your service quality improvement processes.</w:t>
                            </w:r>
                            <w:r w:rsidRPr="00054693" w:rsidDel="00D0237E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2307C" id="_x0000_s1027" type="#_x0000_t202" style="position:absolute;margin-left:93.6pt;margin-top:5.8pt;width:977.4pt;height:5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" filled="f" stroked="f" strokeweight=".5pt">
                <v:textbox>
                  <w:txbxContent>
                    <w:p w14:paraId="4CF5C7C8" w14:textId="77777777" w:rsidR="0081430B" w:rsidRPr="00054693" w:rsidRDefault="0081430B" w:rsidP="0081430B">
                      <w:pPr>
                        <w:spacing w:before="160" w:line="264" w:lineRule="auto"/>
                        <w:rPr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054693"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 xml:space="preserve">You can use the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>e</w:t>
                      </w:r>
                      <w:r w:rsidRPr="00054693"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 xml:space="preserve">valuation and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>c</w:t>
                      </w:r>
                      <w:r w:rsidRPr="00054693"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 xml:space="preserve">ritical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>r</w:t>
                      </w:r>
                      <w:r w:rsidRPr="00054693"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 xml:space="preserve">eflection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>t</w:t>
                      </w:r>
                      <w:r w:rsidRPr="00054693"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>emplate provided as a supporting resource to achieve this, or you may choose to do this in a way that best suits your service quality improvement processes.</w:t>
                      </w:r>
                      <w:r w:rsidRPr="00054693" w:rsidDel="00D0237E">
                        <w:rPr>
                          <w:rFonts w:cs="Arial"/>
                          <w:b/>
                          <w:bCs/>
                          <w:color w:val="FFFFFF" w:themeColor="background1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F7F8C" w14:textId="77777777" w:rsidR="0081430B" w:rsidRDefault="0081430B" w:rsidP="00647F1E">
      <w:pPr>
        <w:rPr>
          <w:b/>
          <w:bCs/>
          <w:sz w:val="32"/>
          <w:szCs w:val="32"/>
          <w:lang w:eastAsia="en-AU"/>
        </w:rPr>
      </w:pPr>
    </w:p>
    <w:p w14:paraId="32C4FC45" w14:textId="3EC8870A" w:rsidR="0081430B" w:rsidRDefault="0081430B" w:rsidP="00647F1E">
      <w:pPr>
        <w:rPr>
          <w:rFonts w:cs="Arial"/>
          <w:b/>
          <w:color w:val="1B5899"/>
          <w:sz w:val="32"/>
          <w:szCs w:val="32"/>
        </w:rPr>
      </w:pPr>
      <w:r>
        <w:rPr>
          <w:rFonts w:cs="Arial"/>
          <w:b/>
          <w:color w:val="1B5899"/>
          <w:sz w:val="32"/>
          <w:szCs w:val="32"/>
        </w:rPr>
        <w:t xml:space="preserve">Evaluation and Critical Reflection template </w:t>
      </w:r>
    </w:p>
    <w:p w14:paraId="46EA6A2F" w14:textId="3B66A04D" w:rsidR="00F31640" w:rsidRPr="00F31640" w:rsidRDefault="00F31640" w:rsidP="00647F1E">
      <w:pPr>
        <w:rPr>
          <w:rFonts w:eastAsia="Aptos" w:cs="Arial"/>
          <w:sz w:val="21"/>
          <w:szCs w:val="21"/>
        </w:rPr>
      </w:pPr>
      <w:r w:rsidRPr="00F31640">
        <w:rPr>
          <w:rFonts w:eastAsia="Aptos" w:cs="Arial"/>
          <w:sz w:val="21"/>
          <w:szCs w:val="21"/>
        </w:rPr>
        <w:t>It is recommended you revisit the plan as par</w:t>
      </w:r>
      <w:r>
        <w:rPr>
          <w:rFonts w:eastAsia="Aptos" w:cs="Arial"/>
          <w:sz w:val="21"/>
          <w:szCs w:val="21"/>
        </w:rPr>
        <w:t>t</w:t>
      </w:r>
      <w:r w:rsidRPr="00F31640">
        <w:rPr>
          <w:rFonts w:eastAsia="Aptos" w:cs="Arial"/>
          <w:sz w:val="21"/>
          <w:szCs w:val="21"/>
        </w:rPr>
        <w:t xml:space="preserve"> of the monitoring/evaluation process</w:t>
      </w:r>
    </w:p>
    <w:tbl>
      <w:tblPr>
        <w:tblStyle w:val="TableGrid4"/>
        <w:tblW w:w="22385" w:type="dxa"/>
        <w:jc w:val="center"/>
        <w:tblLook w:val="04A0" w:firstRow="1" w:lastRow="0" w:firstColumn="1" w:lastColumn="0" w:noHBand="0" w:noVBand="1"/>
      </w:tblPr>
      <w:tblGrid>
        <w:gridCol w:w="5242"/>
        <w:gridCol w:w="8261"/>
        <w:gridCol w:w="3277"/>
        <w:gridCol w:w="5605"/>
      </w:tblGrid>
      <w:tr w:rsidR="0081430B" w:rsidRPr="00786A61" w14:paraId="5BE58069" w14:textId="77777777" w:rsidTr="00F31640">
        <w:trPr>
          <w:cantSplit/>
          <w:trHeight w:val="357"/>
          <w:jc w:val="center"/>
        </w:trPr>
        <w:tc>
          <w:tcPr>
            <w:tcW w:w="22385" w:type="dxa"/>
            <w:gridSpan w:val="4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0F2C51" w:themeColor="text1"/>
            </w:tcBorders>
            <w:shd w:val="clear" w:color="auto" w:fill="1F5BA8" w:themeFill="text2" w:themeFillTint="BF"/>
            <w:vAlign w:val="center"/>
          </w:tcPr>
          <w:p w14:paraId="06FABB06" w14:textId="38BAAE97" w:rsidR="0081430B" w:rsidRPr="00786A61" w:rsidRDefault="0081430B" w:rsidP="0074688F">
            <w:pPr>
              <w:spacing w:after="0"/>
              <w:jc w:val="center"/>
              <w:rPr>
                <w:rFonts w:eastAsia="Calibri" w:cs="Times New Roman"/>
                <w:b/>
                <w:bCs/>
                <w:color w:val="006666"/>
                <w:sz w:val="18"/>
                <w:szCs w:val="18"/>
              </w:rPr>
            </w:pPr>
            <w:r w:rsidRPr="00786A61">
              <w:rPr>
                <w:rFonts w:eastAsia="Calibri" w:cs="Times New Roman"/>
                <w:b/>
                <w:bCs/>
                <w:color w:val="FFFFFF"/>
                <w:szCs w:val="20"/>
              </w:rPr>
              <w:t>Evaluate and reflect</w:t>
            </w:r>
          </w:p>
        </w:tc>
      </w:tr>
      <w:tr w:rsidR="0081430B" w:rsidRPr="00786A61" w14:paraId="6F7618D3" w14:textId="77777777" w:rsidTr="00F31640">
        <w:trPr>
          <w:cantSplit/>
          <w:trHeight w:val="1110"/>
          <w:jc w:val="center"/>
        </w:trPr>
        <w:tc>
          <w:tcPr>
            <w:tcW w:w="5242" w:type="dxa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0F2C51" w:themeColor="text1"/>
            </w:tcBorders>
            <w:shd w:val="clear" w:color="auto" w:fill="B8D2F2" w:themeFill="text1" w:themeFillTint="33"/>
          </w:tcPr>
          <w:p w14:paraId="0E7C34EF" w14:textId="77777777" w:rsidR="0081430B" w:rsidRPr="0081430B" w:rsidRDefault="0081430B" w:rsidP="0074688F">
            <w:pPr>
              <w:spacing w:before="60" w:after="60"/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</w:pP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t>Data</w:t>
            </w:r>
          </w:p>
        </w:tc>
        <w:tc>
          <w:tcPr>
            <w:tcW w:w="8261" w:type="dxa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0F2C51" w:themeColor="text1"/>
            </w:tcBorders>
            <w:shd w:val="clear" w:color="auto" w:fill="B8D2F2" w:themeFill="text1" w:themeFillTint="33"/>
          </w:tcPr>
          <w:p w14:paraId="4E0760CE" w14:textId="77777777" w:rsidR="0081430B" w:rsidRPr="0081430B" w:rsidRDefault="0081430B" w:rsidP="0081430B">
            <w:pPr>
              <w:spacing w:before="60" w:after="60" w:line="240" w:lineRule="auto"/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</w:pP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t>Detail the progress you are making against the identified outcomes from your plan. Record this as progress notes in your QIP.</w:t>
            </w:r>
          </w:p>
        </w:tc>
        <w:tc>
          <w:tcPr>
            <w:tcW w:w="3277" w:type="dxa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0F2C51" w:themeColor="text1"/>
            </w:tcBorders>
            <w:shd w:val="clear" w:color="auto" w:fill="B8D2F2" w:themeFill="text1" w:themeFillTint="33"/>
          </w:tcPr>
          <w:p w14:paraId="0C19B095" w14:textId="77777777" w:rsidR="0081430B" w:rsidRPr="0081430B" w:rsidRDefault="0081430B" w:rsidP="0081430B">
            <w:pPr>
              <w:spacing w:before="60" w:after="60" w:line="240" w:lineRule="auto"/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</w:pP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t xml:space="preserve">Does any part of your plan need to change? If so, what changes? </w:t>
            </w: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br/>
              <w:t>(i.e., Detail the new priority area? Program? Outcome?)</w:t>
            </w:r>
          </w:p>
        </w:tc>
        <w:tc>
          <w:tcPr>
            <w:tcW w:w="5605" w:type="dxa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0F2C51" w:themeColor="text1"/>
            </w:tcBorders>
            <w:shd w:val="clear" w:color="auto" w:fill="B8D2F2" w:themeFill="text1" w:themeFillTint="33"/>
          </w:tcPr>
          <w:p w14:paraId="5097ED44" w14:textId="77777777" w:rsidR="0081430B" w:rsidRPr="0081430B" w:rsidRDefault="0081430B" w:rsidP="0074688F">
            <w:pPr>
              <w:spacing w:before="60" w:after="60"/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</w:pP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t>What monitoring data are you using?</w:t>
            </w:r>
          </w:p>
        </w:tc>
      </w:tr>
      <w:tr w:rsidR="0081430B" w:rsidRPr="00786A61" w14:paraId="441D1D22" w14:textId="77777777" w:rsidTr="00F31640">
        <w:trPr>
          <w:cantSplit/>
          <w:trHeight w:val="1168"/>
          <w:jc w:val="center"/>
        </w:trPr>
        <w:tc>
          <w:tcPr>
            <w:tcW w:w="5242" w:type="dxa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156082"/>
            </w:tcBorders>
          </w:tcPr>
          <w:p w14:paraId="20A34FAA" w14:textId="77777777" w:rsidR="0081430B" w:rsidRPr="0081430B" w:rsidRDefault="0081430B" w:rsidP="0074688F">
            <w:pPr>
              <w:spacing w:before="120" w:after="0"/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</w:pP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t>Child</w:t>
            </w:r>
          </w:p>
        </w:tc>
        <w:tc>
          <w:tcPr>
            <w:tcW w:w="8261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156082"/>
            </w:tcBorders>
          </w:tcPr>
          <w:p w14:paraId="3433EDB9" w14:textId="24141D1B" w:rsidR="0081430B" w:rsidRPr="0081430B" w:rsidRDefault="0081430B" w:rsidP="0074688F">
            <w:pPr>
              <w:spacing w:before="120" w:after="0"/>
              <w:ind w:left="67"/>
              <w:contextualSpacing/>
              <w:rPr>
                <w:rFonts w:cs="Arial"/>
                <w:i/>
                <w:iCs/>
                <w:color w:val="0F2C51" w:themeColor="text1"/>
                <w:sz w:val="20"/>
                <w:szCs w:val="20"/>
              </w:rPr>
            </w:pPr>
            <w:r w:rsidRPr="0081430B">
              <w:rPr>
                <w:rFonts w:cs="Arial"/>
                <w:i/>
                <w:iCs/>
                <w:color w:val="0F2C51" w:themeColor="text1"/>
                <w:sz w:val="20"/>
                <w:szCs w:val="20"/>
              </w:rPr>
              <w:t>What have you noticed since implementing the changes?</w:t>
            </w:r>
          </w:p>
          <w:p w14:paraId="47339831" w14:textId="77777777" w:rsidR="0081430B" w:rsidRPr="0081430B" w:rsidRDefault="0081430B" w:rsidP="0074688F">
            <w:pPr>
              <w:spacing w:before="120" w:after="0"/>
              <w:ind w:left="360"/>
              <w:contextualSpacing/>
              <w:rPr>
                <w:rFonts w:eastAsia="Calibri" w:cs="Arial"/>
                <w:i/>
                <w:iCs/>
                <w:color w:val="0F2C51" w:themeColor="text1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156082"/>
            </w:tcBorders>
          </w:tcPr>
          <w:p w14:paraId="21625C4E" w14:textId="56EDC231" w:rsidR="0081430B" w:rsidRPr="0081430B" w:rsidRDefault="0081430B" w:rsidP="00F31640">
            <w:pPr>
              <w:spacing w:before="120" w:after="0"/>
              <w:contextualSpacing/>
              <w:rPr>
                <w:rFonts w:eastAsia="Calibri" w:cs="Arial"/>
                <w:i/>
                <w:iCs/>
                <w:color w:val="0F2C51" w:themeColor="text1"/>
                <w:sz w:val="20"/>
                <w:szCs w:val="20"/>
              </w:rPr>
            </w:pPr>
            <w:r w:rsidRPr="0081430B">
              <w:rPr>
                <w:rFonts w:cs="Arial"/>
                <w:i/>
                <w:iCs/>
                <w:color w:val="0F2C51" w:themeColor="text1"/>
                <w:sz w:val="20"/>
                <w:szCs w:val="20"/>
              </w:rPr>
              <w:t>What options can you think of to overcome these challenges?</w:t>
            </w:r>
          </w:p>
        </w:tc>
        <w:tc>
          <w:tcPr>
            <w:tcW w:w="5605" w:type="dxa"/>
            <w:vMerge w:val="restart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0F2C51" w:themeColor="text1"/>
            </w:tcBorders>
          </w:tcPr>
          <w:p w14:paraId="557BE145" w14:textId="77777777" w:rsidR="0081430B" w:rsidRPr="00F31640" w:rsidRDefault="0081430B" w:rsidP="0081430B">
            <w:pPr>
              <w:numPr>
                <w:ilvl w:val="0"/>
                <w:numId w:val="9"/>
              </w:numPr>
              <w:tabs>
                <w:tab w:val="left" w:pos="2835"/>
              </w:tabs>
              <w:spacing w:before="60" w:after="0"/>
              <w:ind w:left="238" w:hanging="238"/>
              <w:rPr>
                <w:rFonts w:eastAsia="Calibri" w:cs="Arial"/>
                <w:color w:val="1F5BA8" w:themeColor="text2" w:themeTint="BF"/>
                <w:sz w:val="20"/>
                <w:szCs w:val="20"/>
              </w:rPr>
            </w:pPr>
            <w:r w:rsidRPr="00F31640">
              <w:rPr>
                <w:rFonts w:eastAsia="Calibri" w:cs="Arial"/>
                <w:color w:val="1F5BA8" w:themeColor="text2" w:themeTint="BF"/>
                <w:sz w:val="20"/>
                <w:szCs w:val="20"/>
              </w:rPr>
              <w:t>Critical reflections/professional conversations </w:t>
            </w:r>
          </w:p>
          <w:p w14:paraId="0C7DF21B" w14:textId="77777777" w:rsidR="0081430B" w:rsidRPr="00F31640" w:rsidRDefault="0081430B" w:rsidP="0081430B">
            <w:pPr>
              <w:numPr>
                <w:ilvl w:val="0"/>
                <w:numId w:val="9"/>
              </w:numPr>
              <w:tabs>
                <w:tab w:val="left" w:pos="2835"/>
              </w:tabs>
              <w:spacing w:before="60" w:after="0"/>
              <w:ind w:left="238" w:hanging="238"/>
              <w:rPr>
                <w:rFonts w:eastAsia="Calibri" w:cs="Arial"/>
                <w:color w:val="1F5BA8" w:themeColor="text2" w:themeTint="BF"/>
                <w:sz w:val="20"/>
                <w:szCs w:val="20"/>
              </w:rPr>
            </w:pPr>
            <w:r w:rsidRPr="00F31640">
              <w:rPr>
                <w:rFonts w:eastAsia="Calibri" w:cs="Arial"/>
                <w:color w:val="1F5BA8" w:themeColor="text2" w:themeTint="BF"/>
                <w:sz w:val="20"/>
                <w:szCs w:val="20"/>
              </w:rPr>
              <w:t>Educator Self-Reflection Tool</w:t>
            </w:r>
          </w:p>
          <w:p w14:paraId="56BDA7B6" w14:textId="77777777" w:rsidR="0081430B" w:rsidRPr="00F31640" w:rsidRDefault="0081430B" w:rsidP="0081430B">
            <w:pPr>
              <w:numPr>
                <w:ilvl w:val="0"/>
                <w:numId w:val="9"/>
              </w:numPr>
              <w:tabs>
                <w:tab w:val="left" w:pos="2835"/>
              </w:tabs>
              <w:spacing w:before="60" w:after="0"/>
              <w:ind w:left="238" w:hanging="238"/>
              <w:rPr>
                <w:rFonts w:eastAsia="Calibri" w:cs="Arial"/>
                <w:color w:val="1F5BA8" w:themeColor="text2" w:themeTint="BF"/>
                <w:sz w:val="20"/>
                <w:szCs w:val="20"/>
              </w:rPr>
            </w:pPr>
            <w:r w:rsidRPr="00F31640">
              <w:rPr>
                <w:rFonts w:eastAsia="Calibri" w:cs="Arial"/>
                <w:color w:val="1F5BA8" w:themeColor="text2" w:themeTint="BF"/>
                <w:sz w:val="20"/>
                <w:szCs w:val="20"/>
              </w:rPr>
              <w:t>QIP</w:t>
            </w:r>
          </w:p>
          <w:p w14:paraId="44D7C9E8" w14:textId="77777777" w:rsidR="0081430B" w:rsidRPr="00F31640" w:rsidRDefault="0081430B" w:rsidP="0081430B">
            <w:pPr>
              <w:numPr>
                <w:ilvl w:val="0"/>
                <w:numId w:val="9"/>
              </w:numPr>
              <w:tabs>
                <w:tab w:val="left" w:pos="2835"/>
              </w:tabs>
              <w:spacing w:before="60" w:after="0"/>
              <w:ind w:left="238" w:hanging="238"/>
              <w:rPr>
                <w:rFonts w:eastAsia="Calibri" w:cs="Arial"/>
                <w:color w:val="1F5BA8" w:themeColor="text2" w:themeTint="BF"/>
                <w:sz w:val="20"/>
                <w:szCs w:val="20"/>
              </w:rPr>
            </w:pPr>
            <w:r w:rsidRPr="00F31640">
              <w:rPr>
                <w:rFonts w:eastAsia="Calibri" w:cs="Arial"/>
                <w:color w:val="1F5BA8" w:themeColor="text2" w:themeTint="BF"/>
                <w:sz w:val="20"/>
                <w:szCs w:val="20"/>
              </w:rPr>
              <w:t xml:space="preserve">Child observations </w:t>
            </w:r>
          </w:p>
          <w:p w14:paraId="2569AC7D" w14:textId="77777777" w:rsidR="0081430B" w:rsidRPr="00F31640" w:rsidRDefault="0081430B" w:rsidP="0081430B">
            <w:pPr>
              <w:numPr>
                <w:ilvl w:val="0"/>
                <w:numId w:val="9"/>
              </w:numPr>
              <w:tabs>
                <w:tab w:val="left" w:pos="2835"/>
              </w:tabs>
              <w:spacing w:before="60" w:after="0"/>
              <w:ind w:left="238" w:hanging="238"/>
              <w:rPr>
                <w:rFonts w:eastAsia="Calibri" w:cs="Arial"/>
                <w:color w:val="1F5BA8" w:themeColor="text2" w:themeTint="BF"/>
                <w:sz w:val="20"/>
                <w:szCs w:val="20"/>
              </w:rPr>
            </w:pPr>
            <w:r w:rsidRPr="00F31640">
              <w:rPr>
                <w:rFonts w:eastAsia="Calibri" w:cs="Arial"/>
                <w:color w:val="1F5BA8" w:themeColor="text2" w:themeTint="BF"/>
                <w:sz w:val="20"/>
                <w:szCs w:val="20"/>
              </w:rPr>
              <w:t>Family feedback</w:t>
            </w:r>
          </w:p>
          <w:p w14:paraId="620AFDC4" w14:textId="77777777" w:rsidR="0081430B" w:rsidRPr="00F31640" w:rsidRDefault="0081430B" w:rsidP="0081430B">
            <w:pPr>
              <w:numPr>
                <w:ilvl w:val="0"/>
                <w:numId w:val="9"/>
              </w:numPr>
              <w:tabs>
                <w:tab w:val="left" w:pos="2835"/>
              </w:tabs>
              <w:spacing w:before="60" w:after="0"/>
              <w:ind w:left="238" w:hanging="238"/>
              <w:rPr>
                <w:rFonts w:eastAsia="Calibri" w:cs="Arial"/>
                <w:color w:val="1F5BA8" w:themeColor="text2" w:themeTint="BF"/>
                <w:sz w:val="20"/>
                <w:szCs w:val="20"/>
              </w:rPr>
            </w:pPr>
            <w:r w:rsidRPr="00F31640">
              <w:rPr>
                <w:rFonts w:eastAsia="Calibri" w:cs="Arial"/>
                <w:color w:val="1F5BA8" w:themeColor="text2" w:themeTint="BF"/>
                <w:sz w:val="20"/>
                <w:szCs w:val="20"/>
              </w:rPr>
              <w:t>Planning documentation</w:t>
            </w:r>
          </w:p>
          <w:p w14:paraId="5AB6378C" w14:textId="77777777" w:rsidR="0081430B" w:rsidRPr="00F31640" w:rsidRDefault="0081430B" w:rsidP="0081430B">
            <w:pPr>
              <w:numPr>
                <w:ilvl w:val="0"/>
                <w:numId w:val="9"/>
              </w:numPr>
              <w:tabs>
                <w:tab w:val="left" w:pos="2835"/>
              </w:tabs>
              <w:spacing w:before="60" w:after="0"/>
              <w:ind w:left="238" w:hanging="238"/>
              <w:rPr>
                <w:rFonts w:eastAsia="Calibri" w:cs="Arial"/>
                <w:color w:val="1F5BA8" w:themeColor="text2" w:themeTint="BF"/>
                <w:sz w:val="20"/>
                <w:szCs w:val="20"/>
              </w:rPr>
            </w:pPr>
            <w:r w:rsidRPr="00F31640">
              <w:rPr>
                <w:rFonts w:eastAsia="Calibri" w:cs="Arial"/>
                <w:color w:val="1F5BA8" w:themeColor="text2" w:themeTint="BF"/>
                <w:sz w:val="20"/>
                <w:szCs w:val="20"/>
              </w:rPr>
              <w:t>Assessment data</w:t>
            </w:r>
          </w:p>
          <w:p w14:paraId="1B7DCC8E" w14:textId="77777777" w:rsidR="0081430B" w:rsidRPr="0081430B" w:rsidRDefault="0081430B" w:rsidP="0081430B">
            <w:pPr>
              <w:numPr>
                <w:ilvl w:val="0"/>
                <w:numId w:val="9"/>
              </w:numPr>
              <w:tabs>
                <w:tab w:val="left" w:pos="2835"/>
              </w:tabs>
              <w:spacing w:before="60" w:after="0"/>
              <w:ind w:left="238" w:hanging="238"/>
              <w:rPr>
                <w:rFonts w:eastAsia="Calibri" w:cs="Arial"/>
                <w:sz w:val="20"/>
                <w:szCs w:val="20"/>
              </w:rPr>
            </w:pPr>
            <w:r w:rsidRPr="00F31640">
              <w:rPr>
                <w:rFonts w:eastAsia="Calibri" w:cs="Arial"/>
                <w:color w:val="1F5BA8" w:themeColor="text2" w:themeTint="BF"/>
                <w:sz w:val="20"/>
                <w:szCs w:val="20"/>
              </w:rPr>
              <w:t xml:space="preserve">Reconciliation Action Plan </w:t>
            </w:r>
          </w:p>
        </w:tc>
      </w:tr>
      <w:tr w:rsidR="0081430B" w:rsidRPr="00786A61" w14:paraId="6E753A3D" w14:textId="77777777" w:rsidTr="00F31640">
        <w:trPr>
          <w:cantSplit/>
          <w:trHeight w:val="1239"/>
          <w:jc w:val="center"/>
        </w:trPr>
        <w:tc>
          <w:tcPr>
            <w:tcW w:w="5242" w:type="dxa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156082"/>
            </w:tcBorders>
          </w:tcPr>
          <w:p w14:paraId="2BF36803" w14:textId="77777777" w:rsidR="0081430B" w:rsidRPr="0081430B" w:rsidRDefault="0081430B" w:rsidP="0074688F">
            <w:pPr>
              <w:spacing w:before="120" w:after="0"/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</w:pP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t>Teacher and Educator</w:t>
            </w:r>
          </w:p>
        </w:tc>
        <w:tc>
          <w:tcPr>
            <w:tcW w:w="8261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156082"/>
            </w:tcBorders>
          </w:tcPr>
          <w:p w14:paraId="33E9F995" w14:textId="40725F63" w:rsidR="0081430B" w:rsidRPr="0081430B" w:rsidRDefault="0081430B" w:rsidP="0074688F">
            <w:pPr>
              <w:spacing w:before="120" w:after="0"/>
              <w:ind w:left="67"/>
              <w:contextualSpacing/>
              <w:rPr>
                <w:rFonts w:eastAsia="Calibri" w:cs="Arial"/>
                <w:i/>
                <w:iCs/>
                <w:color w:val="0F2C51" w:themeColor="text1"/>
                <w:sz w:val="20"/>
                <w:szCs w:val="20"/>
              </w:rPr>
            </w:pPr>
            <w:r w:rsidRPr="0081430B">
              <w:rPr>
                <w:rFonts w:cs="Arial"/>
                <w:i/>
                <w:iCs/>
                <w:color w:val="0F2C51" w:themeColor="text1"/>
                <w:sz w:val="20"/>
                <w:szCs w:val="20"/>
              </w:rPr>
              <w:t xml:space="preserve">What challenges did you encounter? </w:t>
            </w:r>
          </w:p>
        </w:tc>
        <w:tc>
          <w:tcPr>
            <w:tcW w:w="3277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156082"/>
            </w:tcBorders>
          </w:tcPr>
          <w:p w14:paraId="32188F57" w14:textId="7AB940F1" w:rsidR="0081430B" w:rsidRPr="0081430B" w:rsidRDefault="0081430B" w:rsidP="00F31640">
            <w:pPr>
              <w:spacing w:before="120" w:after="0"/>
              <w:contextualSpacing/>
              <w:rPr>
                <w:rFonts w:eastAsia="Calibri" w:cs="Arial"/>
                <w:i/>
                <w:iCs/>
                <w:color w:val="0F2C51" w:themeColor="text1"/>
                <w:sz w:val="20"/>
                <w:szCs w:val="20"/>
              </w:rPr>
            </w:pPr>
            <w:r w:rsidRPr="0081430B">
              <w:rPr>
                <w:rFonts w:cs="Arial"/>
                <w:i/>
                <w:iCs/>
                <w:color w:val="0F2C51" w:themeColor="text1"/>
                <w:sz w:val="20"/>
                <w:szCs w:val="20"/>
              </w:rPr>
              <w:t>What are your next steps to work through these challenges?</w:t>
            </w:r>
          </w:p>
        </w:tc>
        <w:tc>
          <w:tcPr>
            <w:tcW w:w="5605" w:type="dxa"/>
            <w:vMerge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0F2C51" w:themeColor="text1"/>
            </w:tcBorders>
          </w:tcPr>
          <w:p w14:paraId="733FB7A5" w14:textId="77777777" w:rsidR="0081430B" w:rsidRPr="0081430B" w:rsidRDefault="0081430B" w:rsidP="0074688F">
            <w:pPr>
              <w:spacing w:after="0"/>
              <w:ind w:left="360"/>
              <w:contextualSpacing/>
              <w:rPr>
                <w:rFonts w:eastAsia="Calibri" w:cs="Arial"/>
                <w:sz w:val="20"/>
                <w:szCs w:val="20"/>
              </w:rPr>
            </w:pPr>
          </w:p>
        </w:tc>
      </w:tr>
      <w:tr w:rsidR="0081430B" w:rsidRPr="00786A61" w14:paraId="7C224177" w14:textId="77777777" w:rsidTr="00F31640">
        <w:trPr>
          <w:cantSplit/>
          <w:trHeight w:val="1522"/>
          <w:jc w:val="center"/>
        </w:trPr>
        <w:tc>
          <w:tcPr>
            <w:tcW w:w="5242" w:type="dxa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156082"/>
            </w:tcBorders>
          </w:tcPr>
          <w:p w14:paraId="22481565" w14:textId="77777777" w:rsidR="0081430B" w:rsidRPr="0081430B" w:rsidRDefault="0081430B" w:rsidP="0074688F">
            <w:pPr>
              <w:spacing w:before="120" w:after="0"/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</w:pP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t>Service</w:t>
            </w:r>
          </w:p>
        </w:tc>
        <w:tc>
          <w:tcPr>
            <w:tcW w:w="8261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156082"/>
            </w:tcBorders>
          </w:tcPr>
          <w:p w14:paraId="4269986F" w14:textId="77777777" w:rsidR="0081430B" w:rsidRPr="0081430B" w:rsidRDefault="0081430B" w:rsidP="0074688F">
            <w:pPr>
              <w:spacing w:before="120" w:after="0"/>
              <w:ind w:left="360"/>
              <w:contextualSpacing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156082"/>
            </w:tcBorders>
          </w:tcPr>
          <w:p w14:paraId="6809C4DF" w14:textId="77777777" w:rsidR="0081430B" w:rsidRPr="0081430B" w:rsidRDefault="0081430B" w:rsidP="0074688F">
            <w:pPr>
              <w:spacing w:before="120" w:after="0"/>
              <w:ind w:left="360"/>
              <w:contextualSpacing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605" w:type="dxa"/>
            <w:vMerge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0F2C51" w:themeColor="text1"/>
            </w:tcBorders>
          </w:tcPr>
          <w:p w14:paraId="59D28417" w14:textId="77777777" w:rsidR="0081430B" w:rsidRPr="0081430B" w:rsidRDefault="0081430B" w:rsidP="0074688F">
            <w:pPr>
              <w:spacing w:after="0"/>
              <w:ind w:left="360"/>
              <w:contextualSpacing/>
              <w:rPr>
                <w:rFonts w:eastAsia="Calibri" w:cs="Arial"/>
                <w:sz w:val="20"/>
                <w:szCs w:val="20"/>
              </w:rPr>
            </w:pPr>
          </w:p>
        </w:tc>
      </w:tr>
      <w:tr w:rsidR="0081430B" w:rsidRPr="00786A61" w14:paraId="1648DCFC" w14:textId="77777777" w:rsidTr="00F31640">
        <w:trPr>
          <w:cantSplit/>
          <w:trHeight w:val="2547"/>
          <w:jc w:val="center"/>
        </w:trPr>
        <w:tc>
          <w:tcPr>
            <w:tcW w:w="5242" w:type="dxa"/>
            <w:tcBorders>
              <w:top w:val="single" w:sz="4" w:space="0" w:color="0F2C51" w:themeColor="text1"/>
              <w:left w:val="single" w:sz="4" w:space="0" w:color="0F2C51" w:themeColor="text1"/>
              <w:bottom w:val="single" w:sz="4" w:space="0" w:color="0F2C51" w:themeColor="text1"/>
              <w:right w:val="single" w:sz="4" w:space="0" w:color="156082"/>
            </w:tcBorders>
          </w:tcPr>
          <w:p w14:paraId="49366DA3" w14:textId="77777777" w:rsidR="0081430B" w:rsidRPr="0081430B" w:rsidRDefault="0081430B" w:rsidP="0074688F">
            <w:pPr>
              <w:spacing w:before="120" w:after="0"/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</w:pPr>
            <w:r w:rsidRPr="0081430B">
              <w:rPr>
                <w:rFonts w:eastAsia="Calibri" w:cs="Arial"/>
                <w:b/>
                <w:bCs/>
                <w:color w:val="0F2C51" w:themeColor="text2"/>
                <w:sz w:val="20"/>
                <w:szCs w:val="20"/>
              </w:rPr>
              <w:t>Community</w:t>
            </w:r>
          </w:p>
        </w:tc>
        <w:tc>
          <w:tcPr>
            <w:tcW w:w="8261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156082"/>
            </w:tcBorders>
          </w:tcPr>
          <w:p w14:paraId="4818E659" w14:textId="77777777" w:rsidR="0081430B" w:rsidRPr="0081430B" w:rsidRDefault="0081430B" w:rsidP="0074688F">
            <w:pPr>
              <w:spacing w:before="120" w:after="0"/>
              <w:ind w:left="360"/>
              <w:contextualSpacing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156082"/>
            </w:tcBorders>
          </w:tcPr>
          <w:p w14:paraId="7E49BFE4" w14:textId="77777777" w:rsidR="0081430B" w:rsidRPr="0081430B" w:rsidRDefault="0081430B" w:rsidP="0074688F">
            <w:pPr>
              <w:spacing w:before="120" w:after="0"/>
              <w:ind w:left="360"/>
              <w:contextualSpacing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605" w:type="dxa"/>
            <w:tcBorders>
              <w:top w:val="single" w:sz="4" w:space="0" w:color="0F2C51" w:themeColor="text1"/>
              <w:left w:val="single" w:sz="4" w:space="0" w:color="156082"/>
              <w:bottom w:val="single" w:sz="4" w:space="0" w:color="0F2C51" w:themeColor="text1"/>
              <w:right w:val="single" w:sz="4" w:space="0" w:color="0F2C51" w:themeColor="text1"/>
            </w:tcBorders>
          </w:tcPr>
          <w:p w14:paraId="6E538CAE" w14:textId="77777777" w:rsidR="0081430B" w:rsidRPr="0081430B" w:rsidRDefault="0081430B" w:rsidP="0074688F">
            <w:pPr>
              <w:spacing w:after="0"/>
              <w:ind w:left="360"/>
              <w:contextualSpacing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4526713" w14:textId="77777777" w:rsidR="0081430B" w:rsidRPr="00786A61" w:rsidRDefault="0081430B" w:rsidP="00F31640">
      <w:pPr>
        <w:tabs>
          <w:tab w:val="left" w:pos="1169"/>
        </w:tabs>
        <w:rPr>
          <w:lang w:val="en-US"/>
        </w:rPr>
      </w:pPr>
    </w:p>
    <w:sectPr w:rsidR="0081430B" w:rsidRPr="00786A61" w:rsidSect="005E2C8C">
      <w:headerReference w:type="first" r:id="rId12"/>
      <w:pgSz w:w="23800" w:h="16820" w:orient="landscape"/>
      <w:pgMar w:top="2268" w:right="816" w:bottom="1701" w:left="816" w:header="709" w:footer="709" w:gutter="0"/>
      <w:cols w:space="7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5A44" w14:textId="77777777" w:rsidR="008E7A4C" w:rsidRDefault="008E7A4C" w:rsidP="00190C24">
      <w:r>
        <w:separator/>
      </w:r>
    </w:p>
  </w:endnote>
  <w:endnote w:type="continuationSeparator" w:id="0">
    <w:p w14:paraId="39DA0C19" w14:textId="77777777" w:rsidR="008E7A4C" w:rsidRDefault="008E7A4C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53F6" w14:textId="77777777" w:rsidR="008E7A4C" w:rsidRDefault="008E7A4C" w:rsidP="00190C24">
      <w:r>
        <w:separator/>
      </w:r>
    </w:p>
  </w:footnote>
  <w:footnote w:type="continuationSeparator" w:id="0">
    <w:p w14:paraId="12462DBB" w14:textId="77777777" w:rsidR="008E7A4C" w:rsidRDefault="008E7A4C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35A2" w14:textId="77777777" w:rsidR="00512801" w:rsidRDefault="0051280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8320E9" wp14:editId="2CD09E84">
          <wp:simplePos x="0" y="0"/>
          <wp:positionH relativeFrom="page">
            <wp:posOffset>12700</wp:posOffset>
          </wp:positionH>
          <wp:positionV relativeFrom="page">
            <wp:posOffset>-12092</wp:posOffset>
          </wp:positionV>
          <wp:extent cx="15100300" cy="10679810"/>
          <wp:effectExtent l="0" t="0" r="0" b="1270"/>
          <wp:wrapNone/>
          <wp:docPr id="1998318877" name="Picture 199831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719" cy="1069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49D"/>
    <w:multiLevelType w:val="hybridMultilevel"/>
    <w:tmpl w:val="17C2AA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046D6"/>
    <w:multiLevelType w:val="hybridMultilevel"/>
    <w:tmpl w:val="EA9E6D46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81D34"/>
    <w:multiLevelType w:val="hybridMultilevel"/>
    <w:tmpl w:val="235286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405A6"/>
    <w:multiLevelType w:val="hybridMultilevel"/>
    <w:tmpl w:val="C9B6FD1E"/>
    <w:lvl w:ilvl="0" w:tplc="7F72A0F0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917881"/>
    <w:multiLevelType w:val="hybridMultilevel"/>
    <w:tmpl w:val="4470EB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9743E"/>
    <w:multiLevelType w:val="hybridMultilevel"/>
    <w:tmpl w:val="A074F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C67DD"/>
    <w:multiLevelType w:val="hybridMultilevel"/>
    <w:tmpl w:val="F59ABE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635185">
    <w:abstractNumId w:val="1"/>
  </w:num>
  <w:num w:numId="2" w16cid:durableId="714235118">
    <w:abstractNumId w:val="5"/>
  </w:num>
  <w:num w:numId="3" w16cid:durableId="1587883717">
    <w:abstractNumId w:val="1"/>
  </w:num>
  <w:num w:numId="4" w16cid:durableId="1995797906">
    <w:abstractNumId w:val="4"/>
  </w:num>
  <w:num w:numId="5" w16cid:durableId="1229876044">
    <w:abstractNumId w:val="7"/>
  </w:num>
  <w:num w:numId="6" w16cid:durableId="1849438644">
    <w:abstractNumId w:val="3"/>
  </w:num>
  <w:num w:numId="7" w16cid:durableId="1057624302">
    <w:abstractNumId w:val="2"/>
  </w:num>
  <w:num w:numId="8" w16cid:durableId="369261456">
    <w:abstractNumId w:val="0"/>
  </w:num>
  <w:num w:numId="9" w16cid:durableId="1912228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3E"/>
    <w:rsid w:val="000436FC"/>
    <w:rsid w:val="0007176E"/>
    <w:rsid w:val="00075D6C"/>
    <w:rsid w:val="000A7230"/>
    <w:rsid w:val="000B61AC"/>
    <w:rsid w:val="000F5EE3"/>
    <w:rsid w:val="000F7FDE"/>
    <w:rsid w:val="0017085C"/>
    <w:rsid w:val="00183AE4"/>
    <w:rsid w:val="00190C24"/>
    <w:rsid w:val="001B5F63"/>
    <w:rsid w:val="001D4238"/>
    <w:rsid w:val="002371F7"/>
    <w:rsid w:val="00247789"/>
    <w:rsid w:val="00253C8D"/>
    <w:rsid w:val="0027036B"/>
    <w:rsid w:val="0027099B"/>
    <w:rsid w:val="0029515B"/>
    <w:rsid w:val="002D325F"/>
    <w:rsid w:val="002F78A2"/>
    <w:rsid w:val="003145CD"/>
    <w:rsid w:val="00325E27"/>
    <w:rsid w:val="00333459"/>
    <w:rsid w:val="00334B56"/>
    <w:rsid w:val="00364D1A"/>
    <w:rsid w:val="00387CC4"/>
    <w:rsid w:val="003D106D"/>
    <w:rsid w:val="003D2CAA"/>
    <w:rsid w:val="003D378B"/>
    <w:rsid w:val="003D3DE0"/>
    <w:rsid w:val="00404BCA"/>
    <w:rsid w:val="00444F85"/>
    <w:rsid w:val="004912DC"/>
    <w:rsid w:val="004B09AB"/>
    <w:rsid w:val="004E2CF2"/>
    <w:rsid w:val="004F36CE"/>
    <w:rsid w:val="004F491F"/>
    <w:rsid w:val="0051149F"/>
    <w:rsid w:val="00512801"/>
    <w:rsid w:val="0054735A"/>
    <w:rsid w:val="00565C3E"/>
    <w:rsid w:val="00590218"/>
    <w:rsid w:val="005979F1"/>
    <w:rsid w:val="005D5CD7"/>
    <w:rsid w:val="005E2C8C"/>
    <w:rsid w:val="005F4331"/>
    <w:rsid w:val="006239A5"/>
    <w:rsid w:val="00636B71"/>
    <w:rsid w:val="00646271"/>
    <w:rsid w:val="00647F1E"/>
    <w:rsid w:val="00653CFD"/>
    <w:rsid w:val="006C3D8E"/>
    <w:rsid w:val="007004B1"/>
    <w:rsid w:val="00717791"/>
    <w:rsid w:val="007269A3"/>
    <w:rsid w:val="00741A8E"/>
    <w:rsid w:val="00745AB1"/>
    <w:rsid w:val="00775795"/>
    <w:rsid w:val="00781EFA"/>
    <w:rsid w:val="007910CB"/>
    <w:rsid w:val="007C6355"/>
    <w:rsid w:val="007F7DDB"/>
    <w:rsid w:val="0081430B"/>
    <w:rsid w:val="00853B7B"/>
    <w:rsid w:val="00884482"/>
    <w:rsid w:val="008E6F9C"/>
    <w:rsid w:val="008E7A4C"/>
    <w:rsid w:val="00907963"/>
    <w:rsid w:val="00940C2F"/>
    <w:rsid w:val="0096595E"/>
    <w:rsid w:val="009E5EE5"/>
    <w:rsid w:val="00A47F67"/>
    <w:rsid w:val="00A522E2"/>
    <w:rsid w:val="00A606D0"/>
    <w:rsid w:val="00A65710"/>
    <w:rsid w:val="00A778A7"/>
    <w:rsid w:val="00A87C08"/>
    <w:rsid w:val="00AB0A25"/>
    <w:rsid w:val="00AD56BC"/>
    <w:rsid w:val="00B10C8F"/>
    <w:rsid w:val="00B33337"/>
    <w:rsid w:val="00B743FE"/>
    <w:rsid w:val="00B8699D"/>
    <w:rsid w:val="00BB1796"/>
    <w:rsid w:val="00BD7523"/>
    <w:rsid w:val="00C36EDF"/>
    <w:rsid w:val="00CB07AD"/>
    <w:rsid w:val="00CC1A10"/>
    <w:rsid w:val="00CD793C"/>
    <w:rsid w:val="00CF107F"/>
    <w:rsid w:val="00D01CD2"/>
    <w:rsid w:val="00D04EC0"/>
    <w:rsid w:val="00D75050"/>
    <w:rsid w:val="00D842DF"/>
    <w:rsid w:val="00DC021F"/>
    <w:rsid w:val="00DC5E03"/>
    <w:rsid w:val="00E26F9B"/>
    <w:rsid w:val="00EF474F"/>
    <w:rsid w:val="00EF4AC5"/>
    <w:rsid w:val="00F31640"/>
    <w:rsid w:val="00F447A2"/>
    <w:rsid w:val="00F44EF7"/>
    <w:rsid w:val="00F56ADB"/>
    <w:rsid w:val="00F72C2A"/>
    <w:rsid w:val="00F755C1"/>
    <w:rsid w:val="00F75FD5"/>
    <w:rsid w:val="00F8291D"/>
    <w:rsid w:val="00FA266D"/>
    <w:rsid w:val="00FC6C02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B9656"/>
  <w15:chartTrackingRefBased/>
  <w15:docId w15:val="{FC55E22A-FBEC-3049-A5D2-66838269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53CFD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C3E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C3E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C3E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C3E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53CFD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CF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53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CFD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653CFD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65C3E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65C3E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65C3E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5C3E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653CFD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653CFD"/>
    <w:pPr>
      <w:numPr>
        <w:numId w:val="3"/>
      </w:numPr>
      <w:tabs>
        <w:tab w:val="left" w:pos="2835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53CFD"/>
    <w:rPr>
      <w:rFonts w:ascii="Arial" w:eastAsiaTheme="majorEastAsia" w:hAnsi="Arial" w:cstheme="majorBidi"/>
      <w:sz w:val="22"/>
    </w:rPr>
  </w:style>
  <w:style w:type="paragraph" w:styleId="Title">
    <w:name w:val="Title"/>
    <w:basedOn w:val="Normal"/>
    <w:next w:val="Normal"/>
    <w:link w:val="TitleChar"/>
    <w:uiPriority w:val="10"/>
    <w:rsid w:val="00653CF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CF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53CFD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3CFD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653CFD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653CFD"/>
    <w:rPr>
      <w:i/>
      <w:iCs/>
    </w:rPr>
  </w:style>
  <w:style w:type="character" w:styleId="IntenseEmphasis">
    <w:name w:val="Intense Emphasis"/>
    <w:basedOn w:val="DefaultParagraphFont"/>
    <w:uiPriority w:val="21"/>
    <w:rsid w:val="00653CFD"/>
    <w:rPr>
      <w:i/>
      <w:iCs/>
      <w:color w:val="auto"/>
    </w:rPr>
  </w:style>
  <w:style w:type="character" w:styleId="Strong">
    <w:name w:val="Strong"/>
    <w:basedOn w:val="DefaultParagraphFont"/>
    <w:qFormat/>
    <w:rsid w:val="00653CFD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53CFD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CFD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653CFD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CFD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653CFD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653CFD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653CFD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5E2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E2C8C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39"/>
    <w:rsid w:val="0081430B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021C68C90BF409F04C9D9C2B68AF7" ma:contentTypeVersion="1" ma:contentTypeDescription="Create a new document." ma:contentTypeScope="" ma:versionID="0c43ef9cc58778fc5c21bdfb275aa669">
  <xsd:schema xmlns:xsd="http://www.w3.org/2001/XMLSchema" xmlns:xs="http://www.w3.org/2001/XMLSchema" xmlns:p="http://schemas.microsoft.com/office/2006/metadata/properties" xmlns:ns1="http://schemas.microsoft.com/sharepoint/v3" xmlns:ns2="687c0ba5-25f6-467d-a8e9-4285ca7a69ae" targetNamespace="http://schemas.microsoft.com/office/2006/metadata/properties" ma:root="true" ma:fieldsID="5cd62be2f7db8f2f810701328df06de8" ns1:_="" ns2:_="">
    <xsd:import namespace="http://schemas.microsoft.com/sharepoint/v3"/>
    <xsd:import namespace="687c0ba5-25f6-467d-a8e9-4285ca7a69ae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0ba5-25f6-467d-a8e9-4285ca7a69ae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pprover xmlns="687c0ba5-25f6-467d-a8e9-4285ca7a69ae">
      <UserInfo>
        <DisplayName/>
        <AccountId xsi:nil="true"/>
        <AccountType/>
      </UserInfo>
    </PPContentApprover>
    <PPLastReviewedBy xmlns="687c0ba5-25f6-467d-a8e9-4285ca7a69ae">
      <UserInfo>
        <DisplayName>MCINTOSH, Alex</DisplayName>
        <AccountId>28</AccountId>
        <AccountType/>
      </UserInfo>
    </PPLastReviewedBy>
    <PPModeratedBy xmlns="687c0ba5-25f6-467d-a8e9-4285ca7a69ae">
      <UserInfo>
        <DisplayName>MCINTOSH, Alex</DisplayName>
        <AccountId>28</AccountId>
        <AccountType/>
      </UserInfo>
    </PPModeratedBy>
    <PPSubmittedBy xmlns="687c0ba5-25f6-467d-a8e9-4285ca7a69ae">
      <UserInfo>
        <DisplayName/>
        <AccountId xsi:nil="true"/>
        <AccountType/>
      </UserInfo>
    </PPSubmittedBy>
    <PPReferenceNumber xmlns="687c0ba5-25f6-467d-a8e9-4285ca7a69ae" xsi:nil="true"/>
    <PPModeratedDate xmlns="687c0ba5-25f6-467d-a8e9-4285ca7a69ae">2026-01-23T05:44:35+00:00</PPModeratedDate>
    <PPLastReviewedDate xmlns="687c0ba5-25f6-467d-a8e9-4285ca7a69ae">2026-01-23T05:44:35+00:00</PPLastReviewedDate>
    <PPContentAuthor xmlns="687c0ba5-25f6-467d-a8e9-4285ca7a69ae">
      <UserInfo>
        <DisplayName/>
        <AccountId xsi:nil="true"/>
        <AccountType/>
      </UserInfo>
    </PPContentAuthor>
    <PPContentOwner xmlns="687c0ba5-25f6-467d-a8e9-4285ca7a69ae">
      <UserInfo>
        <DisplayName>Tony TRANCHIDA</DisplayName>
        <AccountId>192</AccountId>
        <AccountType/>
      </UserInfo>
    </PPContentOwner>
    <PPSubmittedDate xmlns="687c0ba5-25f6-467d-a8e9-4285ca7a69ae" xsi:nil="true"/>
    <PPPublishedNotificationAddresses xmlns="687c0ba5-25f6-467d-a8e9-4285ca7a69ae" xsi:nil="true"/>
    <PPReviewDate xmlns="687c0ba5-25f6-467d-a8e9-4285ca7a69ae" xsi:nil="true"/>
  </documentManagement>
</p:properties>
</file>

<file path=customXml/itemProps1.xml><?xml version="1.0" encoding="utf-8"?>
<ds:datastoreItem xmlns:ds="http://schemas.openxmlformats.org/officeDocument/2006/customXml" ds:itemID="{29AC5D23-C4DC-4FEE-8C82-AE5C3D9515B8}"/>
</file>

<file path=customXml/itemProps2.xml><?xml version="1.0" encoding="utf-8"?>
<ds:datastoreItem xmlns:ds="http://schemas.openxmlformats.org/officeDocument/2006/customXml" ds:itemID="{40273CA6-9422-8047-A766-656D8DF226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D6AD8B-E333-40AC-9F05-86064C8DDB46}"/>
</file>

<file path=customXml/itemProps4.xml><?xml version="1.0" encoding="utf-8"?>
<ds:datastoreItem xmlns:ds="http://schemas.openxmlformats.org/officeDocument/2006/customXml" ds:itemID="{7380F5AC-D0F8-4F64-99A1-319C65FBF060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1120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 brand book A3 page landscape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Kindy Uplift planning—evaluation and critical reflection template</dc:title>
  <dc:subject/>
  <dc:creator>Queensland Government</dc:creator>
  <cp:keywords>Kindy Uplift; planning; evaluation; critical reflection; template;</cp:keywords>
  <dc:description/>
  <cp:revision>4</cp:revision>
  <cp:lastPrinted>2017-12-18T04:28:00Z</cp:lastPrinted>
  <dcterms:created xsi:type="dcterms:W3CDTF">2025-12-11T05:13:00Z</dcterms:created>
  <dcterms:modified xsi:type="dcterms:W3CDTF">2026-01-22T05:34:00Z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0x01010052B021C68C90BF409F04C9D9C2B68AF7</vt:lpwstr>
  </property>
</Properties>
</file>