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27"/>
        <w:gridCol w:w="6283"/>
      </w:tblGrid>
      <w:tr w:rsidR="00533ACA" w:rsidRPr="00350DFF" w14:paraId="6C664FC9" w14:textId="77777777" w:rsidTr="00736DAD">
        <w:trPr>
          <w:tblCellSpacing w:w="20" w:type="dxa"/>
        </w:trPr>
        <w:tc>
          <w:tcPr>
            <w:tcW w:w="495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6B5D111C" w14:textId="77777777" w:rsidR="00533ACA" w:rsidRPr="00350DFF" w:rsidRDefault="00533ACA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0DFF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533ACA" w:rsidRPr="003D0F45" w14:paraId="4B183810" w14:textId="77777777" w:rsidTr="00736DAD">
        <w:trPr>
          <w:trHeight w:val="577"/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C0FD286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Details of entity to whom the enforcement action relates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0C25EF" w14:textId="632A4E72" w:rsidR="00533ACA" w:rsidRPr="003D0F45" w:rsidRDefault="00521E36" w:rsidP="003D0F45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23C1D">
              <w:rPr>
                <w:rFonts w:ascii="Arial" w:hAnsi="Arial" w:cs="Arial"/>
                <w:sz w:val="22"/>
                <w:szCs w:val="22"/>
              </w:rPr>
              <w:t>The Young Men's Christian Association of Brisbane</w:t>
            </w:r>
            <w:r w:rsidR="00D36E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C1D" w:rsidRPr="00823C1D">
              <w:rPr>
                <w:rFonts w:ascii="Arial" w:hAnsi="Arial" w:cs="Arial"/>
                <w:sz w:val="22"/>
                <w:szCs w:val="22"/>
              </w:rPr>
              <w:t xml:space="preserve">PR-00000533 </w:t>
            </w:r>
            <w:r w:rsidR="00D36E91">
              <w:rPr>
                <w:rFonts w:ascii="Arial" w:hAnsi="Arial" w:cs="Arial"/>
                <w:sz w:val="22"/>
                <w:szCs w:val="22"/>
              </w:rPr>
              <w:t>(YMCA)</w:t>
            </w:r>
          </w:p>
        </w:tc>
      </w:tr>
      <w:tr w:rsidR="00533ACA" w:rsidRPr="00350DFF" w14:paraId="26E826B4" w14:textId="77777777" w:rsidTr="00736DAD">
        <w:trPr>
          <w:trHeight w:val="577"/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B2B8990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Type of service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94BA7" w14:textId="77832674" w:rsidR="00533ACA" w:rsidRPr="00350DFF" w:rsidRDefault="005B4B43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Outside </w:t>
            </w:r>
            <w:r w:rsidR="00AB7EE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chool </w:t>
            </w:r>
            <w:r w:rsidR="00AB7EEA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ours </w:t>
            </w:r>
            <w:r w:rsidR="00AB7EE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are </w:t>
            </w:r>
          </w:p>
        </w:tc>
      </w:tr>
      <w:tr w:rsidR="00533ACA" w:rsidRPr="00350DFF" w14:paraId="3E177C9B" w14:textId="77777777" w:rsidTr="00736DAD">
        <w:trPr>
          <w:trHeight w:val="577"/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321837C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DF973" w14:textId="6F8770F3" w:rsidR="00533ACA" w:rsidRPr="00350DFF" w:rsidRDefault="00437350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Voluntary e</w:t>
            </w:r>
            <w:r w:rsidR="00533ACA" w:rsidRPr="00350DFF">
              <w:rPr>
                <w:rFonts w:ascii="Arial" w:hAnsi="Arial" w:cs="Arial"/>
                <w:sz w:val="22"/>
                <w:szCs w:val="22"/>
              </w:rPr>
              <w:t>nforceable undertaking</w:t>
            </w:r>
          </w:p>
        </w:tc>
      </w:tr>
      <w:tr w:rsidR="00533ACA" w:rsidRPr="00350DFF" w14:paraId="2A0CB9D5" w14:textId="77777777" w:rsidTr="008E6121">
        <w:trPr>
          <w:trHeight w:val="4840"/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6141942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90C57A" w14:textId="5030EE78" w:rsidR="00AA707C" w:rsidRDefault="00352CD0" w:rsidP="00D36E91">
            <w:pPr>
              <w:pStyle w:val="ScheduleFormal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Regulatory Authority has alleged that </w:t>
            </w:r>
            <w:r w:rsidR="00521E36">
              <w:rPr>
                <w:rFonts w:ascii="Arial" w:hAnsi="Arial" w:cs="Arial"/>
                <w:sz w:val="22"/>
                <w:szCs w:val="22"/>
              </w:rPr>
              <w:t xml:space="preserve">YMCA </w:t>
            </w:r>
            <w:r w:rsidR="00AA707C" w:rsidRPr="00AA707C">
              <w:rPr>
                <w:rFonts w:ascii="Arial" w:hAnsi="Arial" w:cs="Arial"/>
                <w:sz w:val="22"/>
                <w:szCs w:val="22"/>
              </w:rPr>
              <w:t xml:space="preserve">has failed to comply with section 19(2) of the National Law, which makes it a condition of a provider approval that the approved provider must comply with the Law. </w:t>
            </w:r>
          </w:p>
          <w:p w14:paraId="43261949" w14:textId="77777777" w:rsidR="00823C1D" w:rsidRDefault="00823C1D" w:rsidP="00D36E9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9B7E554" w14:textId="6472FB5C" w:rsidR="005B4B43" w:rsidRPr="0031616A" w:rsidRDefault="005B4B43" w:rsidP="00D36E91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Regulatory Authority alleges that this non-compliance relates to </w:t>
            </w:r>
            <w:r w:rsidR="00853063">
              <w:rPr>
                <w:rFonts w:ascii="Arial" w:hAnsi="Arial" w:cs="Arial"/>
                <w:sz w:val="22"/>
                <w:szCs w:val="22"/>
              </w:rPr>
              <w:t>incidents of children leaving YMCA service</w:t>
            </w:r>
            <w:r w:rsidR="007E796E">
              <w:rPr>
                <w:rFonts w:ascii="Arial" w:hAnsi="Arial" w:cs="Arial"/>
                <w:sz w:val="22"/>
                <w:szCs w:val="22"/>
              </w:rPr>
              <w:t>s</w:t>
            </w:r>
            <w:r w:rsidR="00853063">
              <w:rPr>
                <w:rFonts w:ascii="Arial" w:hAnsi="Arial" w:cs="Arial"/>
                <w:sz w:val="22"/>
                <w:szCs w:val="22"/>
              </w:rPr>
              <w:t xml:space="preserve"> unattended, where inadequate supervision was a contributing factor, during the 12-month period 1 January 2024 to 31 December 2024.  </w:t>
            </w:r>
          </w:p>
          <w:p w14:paraId="4C89544E" w14:textId="77777777" w:rsidR="005B4B43" w:rsidRDefault="005B4B43" w:rsidP="00D36E91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</w:p>
          <w:p w14:paraId="65813CF7" w14:textId="44495687" w:rsidR="00533ACA" w:rsidRPr="005B4B43" w:rsidRDefault="00AA707C" w:rsidP="00D36E91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863B28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It is an offence, pursuant to section 19(4) of the National Law, for an approved provider to fail to comply with the conditions of the provider approval.</w:t>
            </w:r>
            <w:r w:rsidR="005B4B43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 </w:t>
            </w:r>
            <w:r w:rsidR="00533ACA" w:rsidRPr="00863B28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Further information about the</w:t>
            </w:r>
            <w:r w:rsidR="0031616A" w:rsidRPr="00863B28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</w:t>
            </w:r>
            <w:r w:rsidR="00533ACA" w:rsidRPr="00863B28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provisions of the National Law</w:t>
            </w:r>
            <w:r w:rsidR="00DE1B14" w:rsidRPr="00863B28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can be found</w:t>
            </w:r>
            <w:r w:rsidR="00DE1B14" w:rsidRPr="00AA707C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DE1B14" w:rsidRPr="00AA707C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 w:rsidR="00533ACA" w:rsidRPr="00AA70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33ACA" w:rsidRPr="00350DFF" w14:paraId="4F16FAFD" w14:textId="77777777" w:rsidTr="00736DAD">
        <w:trPr>
          <w:trHeight w:val="994"/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541E71C" w14:textId="77777777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Date of agreed undertaking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5C01E0B9" w14:textId="36A770DD" w:rsidR="00533ACA" w:rsidRPr="00350DFF" w:rsidRDefault="00863B28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863B28">
              <w:rPr>
                <w:rFonts w:ascii="Arial" w:hAnsi="Arial" w:cs="Arial"/>
                <w:sz w:val="22"/>
                <w:szCs w:val="22"/>
              </w:rPr>
              <w:t>1 February 2025</w:t>
            </w:r>
            <w:r w:rsidR="00715115">
              <w:rPr>
                <w:rFonts w:ascii="Arial" w:hAnsi="Arial" w:cs="Arial"/>
                <w:sz w:val="22"/>
                <w:szCs w:val="22"/>
              </w:rPr>
              <w:t xml:space="preserve"> (for a period of 12 months </w:t>
            </w:r>
            <w:r w:rsidRPr="00863B28">
              <w:rPr>
                <w:rFonts w:ascii="Arial" w:hAnsi="Arial" w:cs="Arial"/>
                <w:sz w:val="22"/>
                <w:szCs w:val="22"/>
              </w:rPr>
              <w:t>through to 31 January 2026</w:t>
            </w:r>
            <w:r w:rsidR="0071511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33ACA" w:rsidRPr="00350DFF" w14:paraId="6A6DF3F7" w14:textId="77777777" w:rsidTr="00736DAD">
        <w:trPr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FA79753" w14:textId="430922DD" w:rsidR="00533ACA" w:rsidRPr="00350DFF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t>Details of Enforceable Undertaking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E28AED0" w14:textId="6F7F5F02" w:rsidR="008E6121" w:rsidRPr="008E6121" w:rsidRDefault="007E5D31" w:rsidP="008E6121">
            <w:pPr>
              <w:pStyle w:val="ScheduleFormal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YMCA</w:t>
            </w:r>
            <w:r w:rsidR="00715115">
              <w:rPr>
                <w:rFonts w:ascii="Arial" w:hAnsi="Arial" w:cs="Arial"/>
                <w:sz w:val="22"/>
                <w:szCs w:val="22"/>
              </w:rPr>
              <w:t xml:space="preserve"> undertakes to: </w:t>
            </w:r>
          </w:p>
          <w:p w14:paraId="76341056" w14:textId="3B826664" w:rsidR="00520882" w:rsidRDefault="008E6121" w:rsidP="00715115">
            <w:pPr>
              <w:pStyle w:val="ScheduleFormal2"/>
              <w:numPr>
                <w:ilvl w:val="0"/>
                <w:numId w:val="41"/>
              </w:numPr>
              <w:tabs>
                <w:tab w:val="clear" w:pos="360"/>
                <w:tab w:val="num" w:pos="3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121">
              <w:rPr>
                <w:rFonts w:ascii="Arial" w:hAnsi="Arial" w:cs="Arial"/>
                <w:sz w:val="22"/>
                <w:szCs w:val="22"/>
              </w:rPr>
              <w:t xml:space="preserve">Within two months of </w:t>
            </w:r>
            <w:r w:rsidR="00520882">
              <w:rPr>
                <w:rFonts w:ascii="Arial" w:hAnsi="Arial" w:cs="Arial"/>
                <w:sz w:val="22"/>
                <w:szCs w:val="22"/>
              </w:rPr>
              <w:t xml:space="preserve">commencement, </w:t>
            </w:r>
            <w:r w:rsidR="00520882" w:rsidRPr="00520882">
              <w:rPr>
                <w:rFonts w:ascii="Arial" w:hAnsi="Arial" w:cs="Arial"/>
                <w:sz w:val="22"/>
                <w:szCs w:val="22"/>
              </w:rPr>
              <w:t>finalise and provide to the Regulatory Authority an Action</w:t>
            </w:r>
            <w:r w:rsidR="00520882">
              <w:rPr>
                <w:rFonts w:ascii="Arial" w:hAnsi="Arial" w:cs="Arial"/>
                <w:sz w:val="22"/>
                <w:szCs w:val="22"/>
              </w:rPr>
              <w:t xml:space="preserve"> Plan</w:t>
            </w:r>
            <w:r w:rsidR="00521E36">
              <w:rPr>
                <w:rFonts w:ascii="Arial" w:hAnsi="Arial" w:cs="Arial"/>
                <w:sz w:val="22"/>
                <w:szCs w:val="22"/>
              </w:rPr>
              <w:t xml:space="preserve"> based on </w:t>
            </w:r>
            <w:r w:rsidR="00436D81">
              <w:rPr>
                <w:rFonts w:ascii="Arial" w:hAnsi="Arial" w:cs="Arial"/>
                <w:sz w:val="22"/>
                <w:szCs w:val="22"/>
              </w:rPr>
              <w:t>YMCA’s Supervision Improvement Plan</w:t>
            </w:r>
            <w:r w:rsidRPr="008E6121">
              <w:rPr>
                <w:rFonts w:ascii="Arial" w:hAnsi="Arial" w:cs="Arial"/>
                <w:sz w:val="22"/>
                <w:szCs w:val="22"/>
              </w:rPr>
              <w:t>, detailing</w:t>
            </w:r>
            <w:r w:rsidR="005208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9C5B53" w14:textId="3068A486" w:rsidR="008E6121" w:rsidRDefault="00715115" w:rsidP="0099091E">
            <w:pPr>
              <w:pStyle w:val="ScheduleFormal2"/>
              <w:numPr>
                <w:ilvl w:val="1"/>
                <w:numId w:val="41"/>
              </w:numPr>
              <w:tabs>
                <w:tab w:val="clear" w:pos="1080"/>
                <w:tab w:val="num" w:pos="949"/>
              </w:tabs>
              <w:ind w:left="949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21E36">
              <w:rPr>
                <w:rFonts w:ascii="Arial" w:hAnsi="Arial" w:cs="Arial"/>
                <w:sz w:val="22"/>
                <w:szCs w:val="22"/>
              </w:rPr>
              <w:t>ctions</w:t>
            </w:r>
            <w:r w:rsidR="008E6121" w:rsidRPr="008E6121">
              <w:rPr>
                <w:rFonts w:ascii="Arial" w:hAnsi="Arial" w:cs="Arial"/>
                <w:sz w:val="22"/>
                <w:szCs w:val="22"/>
              </w:rPr>
              <w:t xml:space="preserve"> that have already been implemented; </w:t>
            </w:r>
          </w:p>
          <w:p w14:paraId="62EE4D59" w14:textId="01A57631" w:rsidR="00520882" w:rsidRDefault="00520882" w:rsidP="0099091E">
            <w:pPr>
              <w:pStyle w:val="ScheduleFormal2"/>
              <w:numPr>
                <w:ilvl w:val="1"/>
                <w:numId w:val="41"/>
              </w:numPr>
              <w:tabs>
                <w:tab w:val="clear" w:pos="1080"/>
                <w:tab w:val="num" w:pos="1090"/>
              </w:tabs>
              <w:ind w:left="949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882">
              <w:rPr>
                <w:rFonts w:ascii="Arial" w:hAnsi="Arial" w:cs="Arial"/>
                <w:sz w:val="22"/>
                <w:szCs w:val="22"/>
              </w:rPr>
              <w:t xml:space="preserve">areas </w:t>
            </w:r>
            <w:r w:rsidR="00521E36">
              <w:rPr>
                <w:rFonts w:ascii="Arial" w:hAnsi="Arial" w:cs="Arial"/>
                <w:sz w:val="22"/>
                <w:szCs w:val="22"/>
              </w:rPr>
              <w:t>that</w:t>
            </w:r>
            <w:r w:rsidRPr="00520882">
              <w:rPr>
                <w:rFonts w:ascii="Arial" w:hAnsi="Arial" w:cs="Arial"/>
                <w:sz w:val="22"/>
                <w:szCs w:val="22"/>
              </w:rPr>
              <w:t xml:space="preserve"> are yet to commence and time frames for their commencement and completion; and </w:t>
            </w:r>
          </w:p>
          <w:p w14:paraId="736873F6" w14:textId="796620EB" w:rsidR="008E6121" w:rsidRPr="008E6121" w:rsidRDefault="00715115" w:rsidP="0099091E">
            <w:pPr>
              <w:pStyle w:val="ScheduleFormal2"/>
              <w:numPr>
                <w:ilvl w:val="1"/>
                <w:numId w:val="41"/>
              </w:numPr>
              <w:tabs>
                <w:tab w:val="clear" w:pos="1080"/>
                <w:tab w:val="num" w:pos="949"/>
              </w:tabs>
              <w:ind w:left="949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8E6121" w:rsidRPr="008E6121">
              <w:rPr>
                <w:rFonts w:ascii="Arial" w:hAnsi="Arial" w:cs="Arial"/>
                <w:sz w:val="22"/>
                <w:szCs w:val="22"/>
              </w:rPr>
              <w:t xml:space="preserve">overnance arrangements, including how systematic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E6121" w:rsidRPr="008E6121">
              <w:rPr>
                <w:rFonts w:ascii="Arial" w:hAnsi="Arial" w:cs="Arial"/>
                <w:sz w:val="22"/>
                <w:szCs w:val="22"/>
              </w:rPr>
              <w:t>governance controls will operate in practice</w:t>
            </w:r>
            <w:r w:rsidR="008E6121" w:rsidRPr="0052088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FFBAE3" w14:textId="4960A313" w:rsidR="008E6121" w:rsidRPr="008E6121" w:rsidRDefault="008E6121" w:rsidP="00715115">
            <w:pPr>
              <w:pStyle w:val="ScheduleFormal2"/>
              <w:numPr>
                <w:ilvl w:val="0"/>
                <w:numId w:val="41"/>
              </w:numPr>
              <w:tabs>
                <w:tab w:val="clear" w:pos="360"/>
              </w:tabs>
              <w:ind w:left="382" w:hanging="3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121">
              <w:rPr>
                <w:rFonts w:ascii="Arial" w:hAnsi="Arial" w:cs="Arial"/>
                <w:sz w:val="22"/>
                <w:szCs w:val="22"/>
              </w:rPr>
              <w:t xml:space="preserve">Attend quarterly update meetings with the Regulatory Authority to discuss progress against EU activities. </w:t>
            </w:r>
          </w:p>
          <w:p w14:paraId="3DF80BD5" w14:textId="621683EF" w:rsidR="00736DAD" w:rsidRDefault="008E6121" w:rsidP="009C6FD3">
            <w:pPr>
              <w:pStyle w:val="ScheduleFormal2"/>
              <w:numPr>
                <w:ilvl w:val="0"/>
                <w:numId w:val="41"/>
              </w:numPr>
              <w:tabs>
                <w:tab w:val="clear" w:pos="360"/>
                <w:tab w:val="num" w:pos="523"/>
              </w:tabs>
              <w:ind w:left="382" w:hanging="3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6121">
              <w:rPr>
                <w:rFonts w:ascii="Arial" w:hAnsi="Arial" w:cs="Arial"/>
                <w:sz w:val="22"/>
                <w:szCs w:val="22"/>
              </w:rPr>
              <w:lastRenderedPageBreak/>
              <w:t xml:space="preserve">Submit to the </w:t>
            </w:r>
            <w:r w:rsidR="00521E36">
              <w:rPr>
                <w:rFonts w:ascii="Arial" w:hAnsi="Arial" w:cs="Arial"/>
                <w:sz w:val="22"/>
                <w:szCs w:val="22"/>
              </w:rPr>
              <w:t>Regulatory Authority quarterly</w:t>
            </w:r>
            <w:r w:rsidRPr="008E6121">
              <w:rPr>
                <w:rFonts w:ascii="Arial" w:hAnsi="Arial" w:cs="Arial"/>
                <w:sz w:val="22"/>
                <w:szCs w:val="22"/>
              </w:rPr>
              <w:t xml:space="preserve"> summary</w:t>
            </w:r>
            <w:r w:rsidR="00521E36">
              <w:rPr>
                <w:rFonts w:ascii="Arial" w:hAnsi="Arial" w:cs="Arial"/>
                <w:sz w:val="22"/>
                <w:szCs w:val="22"/>
              </w:rPr>
              <w:t xml:space="preserve"> reports</w:t>
            </w:r>
            <w:r w:rsidRPr="008E6121">
              <w:rPr>
                <w:rFonts w:ascii="Arial" w:hAnsi="Arial" w:cs="Arial"/>
                <w:sz w:val="22"/>
                <w:szCs w:val="22"/>
              </w:rPr>
              <w:t xml:space="preserve"> of outcomes, trends and corrective actions in line with </w:t>
            </w:r>
            <w:r w:rsidR="007E5D31">
              <w:rPr>
                <w:rFonts w:ascii="Arial" w:hAnsi="Arial" w:cs="Arial"/>
                <w:sz w:val="22"/>
                <w:szCs w:val="22"/>
              </w:rPr>
              <w:t xml:space="preserve">YMCA’s Supervision Improvement Plan </w:t>
            </w:r>
            <w:r w:rsidRPr="008E6121">
              <w:rPr>
                <w:rFonts w:ascii="Arial" w:hAnsi="Arial" w:cs="Arial"/>
                <w:sz w:val="22"/>
                <w:szCs w:val="22"/>
              </w:rPr>
              <w:t xml:space="preserve">for the </w:t>
            </w:r>
            <w:r w:rsidR="007E5D31">
              <w:rPr>
                <w:rFonts w:ascii="Arial" w:hAnsi="Arial" w:cs="Arial"/>
                <w:sz w:val="22"/>
                <w:szCs w:val="22"/>
              </w:rPr>
              <w:t>t</w:t>
            </w:r>
            <w:r w:rsidRPr="008E6121">
              <w:rPr>
                <w:rFonts w:ascii="Arial" w:hAnsi="Arial" w:cs="Arial"/>
                <w:sz w:val="22"/>
                <w:szCs w:val="22"/>
              </w:rPr>
              <w:t>erm of th</w:t>
            </w:r>
            <w:r w:rsidR="0024358F">
              <w:rPr>
                <w:rFonts w:ascii="Arial" w:hAnsi="Arial" w:cs="Arial"/>
                <w:sz w:val="22"/>
                <w:szCs w:val="22"/>
              </w:rPr>
              <w:t>e</w:t>
            </w:r>
            <w:r w:rsidRPr="008E6121">
              <w:rPr>
                <w:rFonts w:ascii="Arial" w:hAnsi="Arial" w:cs="Arial"/>
                <w:sz w:val="22"/>
                <w:szCs w:val="22"/>
              </w:rPr>
              <w:t xml:space="preserve"> Undertaking. </w:t>
            </w:r>
          </w:p>
          <w:p w14:paraId="5B01AD9B" w14:textId="1B6DF5EB" w:rsidR="002E31CE" w:rsidRPr="009C6FD3" w:rsidRDefault="002E31CE" w:rsidP="002E31CE">
            <w:pPr>
              <w:pStyle w:val="ScheduleFormal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CA" w:rsidRPr="00350DFF" w14:paraId="360B0FCC" w14:textId="77777777" w:rsidTr="00736DAD">
        <w:trPr>
          <w:tblCellSpacing w:w="20" w:type="dxa"/>
        </w:trPr>
        <w:tc>
          <w:tcPr>
            <w:tcW w:w="148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3530B6" w14:textId="77777777" w:rsidR="00533ACA" w:rsidRPr="00350DFF" w:rsidRDefault="00533ACA" w:rsidP="008E6121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50DFF">
              <w:rPr>
                <w:rFonts w:ascii="Arial" w:hAnsi="Arial" w:cs="Arial"/>
                <w:sz w:val="22"/>
                <w:szCs w:val="22"/>
              </w:rPr>
              <w:lastRenderedPageBreak/>
              <w:t>Steps taken</w:t>
            </w:r>
          </w:p>
        </w:tc>
        <w:tc>
          <w:tcPr>
            <w:tcW w:w="34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3EE42E4" w14:textId="1CAB33C2" w:rsidR="00394FEA" w:rsidRPr="00350DFF" w:rsidRDefault="007D5887" w:rsidP="00D36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Arial" w:hAnsi="Arial" w:cs="Arial"/>
              </w:rPr>
            </w:pPr>
            <w:r w:rsidRPr="00350DFF">
              <w:rPr>
                <w:rFonts w:ascii="Arial" w:hAnsi="Arial" w:cs="Arial"/>
              </w:rPr>
              <w:t xml:space="preserve">To support </w:t>
            </w:r>
            <w:r w:rsidR="00357C7D">
              <w:rPr>
                <w:rFonts w:ascii="Arial" w:hAnsi="Arial" w:cs="Arial"/>
              </w:rPr>
              <w:t>YMCA’s</w:t>
            </w:r>
            <w:r w:rsidRPr="00350DFF">
              <w:rPr>
                <w:rFonts w:ascii="Arial" w:hAnsi="Arial" w:cs="Arial"/>
              </w:rPr>
              <w:t xml:space="preserve"> ongoing compliance with the National Law and Regulations, t</w:t>
            </w:r>
            <w:r w:rsidR="00533ACA" w:rsidRPr="00350DFF">
              <w:rPr>
                <w:rFonts w:ascii="Arial" w:hAnsi="Arial" w:cs="Arial"/>
              </w:rPr>
              <w:t xml:space="preserve">he </w:t>
            </w:r>
            <w:r w:rsidR="007E5D31">
              <w:rPr>
                <w:rFonts w:ascii="Arial" w:hAnsi="Arial" w:cs="Arial"/>
              </w:rPr>
              <w:t>R</w:t>
            </w:r>
            <w:r w:rsidR="00533ACA" w:rsidRPr="00350DFF">
              <w:rPr>
                <w:rFonts w:ascii="Arial" w:hAnsi="Arial" w:cs="Arial"/>
              </w:rPr>
              <w:t xml:space="preserve">egulatory </w:t>
            </w:r>
            <w:r w:rsidR="007E5D31">
              <w:rPr>
                <w:rFonts w:ascii="Arial" w:hAnsi="Arial" w:cs="Arial"/>
              </w:rPr>
              <w:t>A</w:t>
            </w:r>
            <w:r w:rsidR="00533ACA" w:rsidRPr="00350DFF">
              <w:rPr>
                <w:rFonts w:ascii="Arial" w:hAnsi="Arial" w:cs="Arial"/>
              </w:rPr>
              <w:t xml:space="preserve">uthority has accepted a written undertaking </w:t>
            </w:r>
            <w:r w:rsidR="00437350">
              <w:rPr>
                <w:rFonts w:ascii="Arial" w:hAnsi="Arial" w:cs="Arial"/>
              </w:rPr>
              <w:t xml:space="preserve">voluntarily provided </w:t>
            </w:r>
            <w:r w:rsidR="007E5D31">
              <w:rPr>
                <w:rFonts w:ascii="Arial" w:hAnsi="Arial" w:cs="Arial"/>
              </w:rPr>
              <w:t>by YMCA</w:t>
            </w:r>
            <w:r w:rsidR="00533ACA" w:rsidRPr="00350DFF">
              <w:rPr>
                <w:rFonts w:ascii="Arial" w:hAnsi="Arial" w:cs="Arial"/>
              </w:rPr>
              <w:t xml:space="preserve"> in line with the terms above</w:t>
            </w:r>
            <w:r w:rsidR="003D158C" w:rsidRPr="00350DFF">
              <w:rPr>
                <w:rFonts w:ascii="Arial" w:hAnsi="Arial" w:cs="Arial"/>
              </w:rPr>
              <w:t xml:space="preserve"> and will monitor compliance with this undertaking over its </w:t>
            </w:r>
            <w:r w:rsidR="00C14FD0">
              <w:rPr>
                <w:rFonts w:ascii="Arial" w:hAnsi="Arial" w:cs="Arial"/>
              </w:rPr>
              <w:t>12</w:t>
            </w:r>
            <w:r w:rsidR="00C14FD0" w:rsidRPr="00350DFF">
              <w:rPr>
                <w:rFonts w:ascii="Arial" w:hAnsi="Arial" w:cs="Arial"/>
              </w:rPr>
              <w:t>-month</w:t>
            </w:r>
            <w:r w:rsidR="003D158C" w:rsidRPr="00350DFF">
              <w:rPr>
                <w:rFonts w:ascii="Arial" w:hAnsi="Arial" w:cs="Arial"/>
              </w:rPr>
              <w:t xml:space="preserve"> duration</w:t>
            </w:r>
            <w:r w:rsidR="00533ACA" w:rsidRPr="00350DFF">
              <w:rPr>
                <w:rFonts w:ascii="Arial" w:hAnsi="Arial" w:cs="Arial"/>
              </w:rPr>
              <w:t>.</w:t>
            </w:r>
            <w:r w:rsidR="00DE1B14" w:rsidRPr="00350DFF">
              <w:rPr>
                <w:rFonts w:ascii="Arial" w:hAnsi="Arial" w:cs="Arial"/>
              </w:rPr>
              <w:t xml:space="preserve"> </w:t>
            </w:r>
          </w:p>
          <w:p w14:paraId="61A16C27" w14:textId="0EE6D820" w:rsidR="00394FEA" w:rsidRDefault="00394FEA" w:rsidP="00D36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Arial" w:hAnsi="Arial" w:cs="Arial"/>
              </w:rPr>
            </w:pPr>
          </w:p>
          <w:p w14:paraId="13D5FF03" w14:textId="26256EE0" w:rsidR="00DE1B14" w:rsidRDefault="00DE1B14" w:rsidP="00D36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50DFF">
              <w:rPr>
                <w:rFonts w:ascii="Arial" w:hAnsi="Arial" w:cs="Arial"/>
              </w:rPr>
              <w:t xml:space="preserve">Failure to comply with the undertaking may result in the </w:t>
            </w:r>
            <w:r w:rsidR="007E5D31">
              <w:rPr>
                <w:rFonts w:ascii="Arial" w:hAnsi="Arial" w:cs="Arial"/>
              </w:rPr>
              <w:t>R</w:t>
            </w:r>
            <w:r w:rsidRPr="00350DFF">
              <w:rPr>
                <w:rFonts w:ascii="Arial" w:hAnsi="Arial" w:cs="Arial"/>
              </w:rPr>
              <w:t xml:space="preserve">egulatory </w:t>
            </w:r>
            <w:r w:rsidR="007E5D31">
              <w:rPr>
                <w:rFonts w:ascii="Arial" w:hAnsi="Arial" w:cs="Arial"/>
              </w:rPr>
              <w:t>A</w:t>
            </w:r>
            <w:r w:rsidRPr="00350DFF">
              <w:rPr>
                <w:rFonts w:ascii="Arial" w:hAnsi="Arial" w:cs="Arial"/>
              </w:rPr>
              <w:t xml:space="preserve">uthority pursuing further enforcement action, including prosecution. </w:t>
            </w:r>
          </w:p>
          <w:p w14:paraId="3E9F99C4" w14:textId="77777777" w:rsidR="008E6121" w:rsidRDefault="008E6121" w:rsidP="00D36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Arial" w:hAnsi="Arial" w:cs="Arial"/>
              </w:rPr>
            </w:pPr>
          </w:p>
          <w:p w14:paraId="6E9A71C2" w14:textId="0C00C018" w:rsidR="000E4276" w:rsidRPr="00350DFF" w:rsidRDefault="000E427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6169C360" w14:textId="77777777" w:rsidR="00533ACA" w:rsidRPr="00350DFF" w:rsidRDefault="00533ACA" w:rsidP="00533ACA">
      <w:pPr>
        <w:rPr>
          <w:rFonts w:ascii="Arial" w:hAnsi="Arial" w:cs="Arial"/>
        </w:rPr>
      </w:pPr>
    </w:p>
    <w:p w14:paraId="7EFFFD60" w14:textId="77777777" w:rsidR="0006341E" w:rsidRPr="00350DFF" w:rsidRDefault="0006341E" w:rsidP="00533ACA">
      <w:pPr>
        <w:rPr>
          <w:rFonts w:ascii="Arial" w:hAnsi="Arial" w:cs="Arial"/>
        </w:rPr>
      </w:pPr>
    </w:p>
    <w:sectPr w:rsidR="0006341E" w:rsidRPr="00350DFF" w:rsidSect="007B56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BF7B" w14:textId="77777777" w:rsidR="007B569A" w:rsidRDefault="007B569A" w:rsidP="005D5FD2">
      <w:pPr>
        <w:spacing w:after="0" w:line="240" w:lineRule="auto"/>
      </w:pPr>
      <w:r>
        <w:separator/>
      </w:r>
    </w:p>
  </w:endnote>
  <w:endnote w:type="continuationSeparator" w:id="0">
    <w:p w14:paraId="45311E4C" w14:textId="77777777" w:rsidR="007B569A" w:rsidRDefault="007B569A" w:rsidP="005D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0B54" w14:textId="77777777" w:rsidR="005D5FD2" w:rsidRDefault="005D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C89A" w14:textId="2114ADC7" w:rsidR="005D5FD2" w:rsidRPr="005D5FD2" w:rsidRDefault="005D5FD2">
    <w:pPr>
      <w:pStyle w:val="Footer"/>
      <w:rPr>
        <w:rFonts w:ascii="Arial" w:hAnsi="Arial" w:cs="Arial"/>
      </w:rPr>
    </w:pPr>
    <w:r w:rsidRPr="005D5FD2">
      <w:rPr>
        <w:rFonts w:ascii="Arial" w:hAnsi="Arial" w:cs="Arial"/>
      </w:rPr>
      <w:t>Ref: CM 2</w:t>
    </w:r>
    <w:r w:rsidR="00CC2617">
      <w:rPr>
        <w:rFonts w:ascii="Arial" w:hAnsi="Arial" w:cs="Arial"/>
      </w:rPr>
      <w:t>5</w:t>
    </w:r>
    <w:r w:rsidR="001810B5">
      <w:rPr>
        <w:rFonts w:ascii="Arial" w:hAnsi="Arial" w:cs="Arial"/>
      </w:rPr>
      <w:t>/</w:t>
    </w:r>
    <w:r w:rsidR="00CC2617">
      <w:rPr>
        <w:rFonts w:ascii="Arial" w:hAnsi="Arial" w:cs="Arial"/>
      </w:rPr>
      <w:t>268211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4D94" w14:textId="77777777" w:rsidR="005D5FD2" w:rsidRDefault="005D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8602" w14:textId="77777777" w:rsidR="007B569A" w:rsidRDefault="007B569A" w:rsidP="005D5FD2">
      <w:pPr>
        <w:spacing w:after="0" w:line="240" w:lineRule="auto"/>
      </w:pPr>
      <w:r>
        <w:separator/>
      </w:r>
    </w:p>
  </w:footnote>
  <w:footnote w:type="continuationSeparator" w:id="0">
    <w:p w14:paraId="08265756" w14:textId="77777777" w:rsidR="007B569A" w:rsidRDefault="007B569A" w:rsidP="005D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437F" w14:textId="77777777" w:rsidR="005D5FD2" w:rsidRDefault="005D5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878C" w14:textId="77777777" w:rsidR="005D5FD2" w:rsidRDefault="005D5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50CE" w14:textId="77777777" w:rsidR="005D5FD2" w:rsidRDefault="005D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A84742"/>
    <w:multiLevelType w:val="hybridMultilevel"/>
    <w:tmpl w:val="BB6A3A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222728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FC100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BC68F6"/>
    <w:multiLevelType w:val="hybridMultilevel"/>
    <w:tmpl w:val="7310C81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6F282B"/>
    <w:multiLevelType w:val="hybridMultilevel"/>
    <w:tmpl w:val="51A21144"/>
    <w:lvl w:ilvl="0" w:tplc="2D7073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EF6"/>
    <w:multiLevelType w:val="hybridMultilevel"/>
    <w:tmpl w:val="EA1A6EE2"/>
    <w:lvl w:ilvl="0" w:tplc="0C09001B">
      <w:start w:val="1"/>
      <w:numFmt w:val="lowerRoman"/>
      <w:lvlText w:val="%1."/>
      <w:lvlJc w:val="right"/>
      <w:pPr>
        <w:ind w:left="1140" w:hanging="360"/>
      </w:p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534A32"/>
    <w:multiLevelType w:val="hybridMultilevel"/>
    <w:tmpl w:val="C7A20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55843"/>
    <w:multiLevelType w:val="hybridMultilevel"/>
    <w:tmpl w:val="70E44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23232A4"/>
    <w:multiLevelType w:val="hybridMultilevel"/>
    <w:tmpl w:val="E278BE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55F6814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8D583D"/>
    <w:multiLevelType w:val="hybridMultilevel"/>
    <w:tmpl w:val="83A27E6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8F789F"/>
    <w:multiLevelType w:val="multilevel"/>
    <w:tmpl w:val="19AC50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AC7E13"/>
    <w:multiLevelType w:val="multilevel"/>
    <w:tmpl w:val="C2B4EEF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2126"/>
        </w:tabs>
        <w:ind w:left="2126" w:hanging="708"/>
      </w:pPr>
      <w:rPr>
        <w:rFonts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544" w:hanging="70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4111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4536"/>
        </w:tabs>
        <w:ind w:left="0" w:firstLine="0"/>
      </w:pPr>
      <w:rPr>
        <w:rFonts w:hint="default"/>
      </w:rPr>
    </w:lvl>
  </w:abstractNum>
  <w:abstractNum w:abstractNumId="18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17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2"/>
  </w:num>
  <w:num w:numId="25">
    <w:abstractNumId w:val="16"/>
  </w:num>
  <w:num w:numId="26">
    <w:abstractNumId w:val="16"/>
  </w:num>
  <w:num w:numId="27">
    <w:abstractNumId w:val="16"/>
  </w:num>
  <w:num w:numId="28">
    <w:abstractNumId w:val="14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83BA0"/>
    <w:rsid w:val="000C6C8A"/>
    <w:rsid w:val="000E4276"/>
    <w:rsid w:val="000E59B9"/>
    <w:rsid w:val="00116B9C"/>
    <w:rsid w:val="00125F6F"/>
    <w:rsid w:val="00137F73"/>
    <w:rsid w:val="00144AAE"/>
    <w:rsid w:val="00152D74"/>
    <w:rsid w:val="00153CE5"/>
    <w:rsid w:val="001810B5"/>
    <w:rsid w:val="001A4AE9"/>
    <w:rsid w:val="001D3D01"/>
    <w:rsid w:val="002065A4"/>
    <w:rsid w:val="002131F6"/>
    <w:rsid w:val="00217F3A"/>
    <w:rsid w:val="00220E1B"/>
    <w:rsid w:val="002227B0"/>
    <w:rsid w:val="00242BF5"/>
    <w:rsid w:val="0024358F"/>
    <w:rsid w:val="002A6906"/>
    <w:rsid w:val="002C6025"/>
    <w:rsid w:val="002D113C"/>
    <w:rsid w:val="002E31CE"/>
    <w:rsid w:val="002E58E6"/>
    <w:rsid w:val="00300C24"/>
    <w:rsid w:val="0031616A"/>
    <w:rsid w:val="003228E7"/>
    <w:rsid w:val="00350DFF"/>
    <w:rsid w:val="00352CD0"/>
    <w:rsid w:val="003558FE"/>
    <w:rsid w:val="00357C7D"/>
    <w:rsid w:val="003634E6"/>
    <w:rsid w:val="00394FEA"/>
    <w:rsid w:val="003D0F45"/>
    <w:rsid w:val="003D158C"/>
    <w:rsid w:val="003E57B9"/>
    <w:rsid w:val="00436D81"/>
    <w:rsid w:val="00437350"/>
    <w:rsid w:val="004D4C53"/>
    <w:rsid w:val="00514112"/>
    <w:rsid w:val="00520882"/>
    <w:rsid w:val="00521C39"/>
    <w:rsid w:val="00521E36"/>
    <w:rsid w:val="00533ACA"/>
    <w:rsid w:val="0056492A"/>
    <w:rsid w:val="00586B44"/>
    <w:rsid w:val="005873C9"/>
    <w:rsid w:val="005B4B43"/>
    <w:rsid w:val="005C0B15"/>
    <w:rsid w:val="005C5133"/>
    <w:rsid w:val="005D5FD2"/>
    <w:rsid w:val="005F59DA"/>
    <w:rsid w:val="006073DE"/>
    <w:rsid w:val="0064641D"/>
    <w:rsid w:val="00677B18"/>
    <w:rsid w:val="00690F5E"/>
    <w:rsid w:val="006A0D5A"/>
    <w:rsid w:val="006C451F"/>
    <w:rsid w:val="00715115"/>
    <w:rsid w:val="0072558B"/>
    <w:rsid w:val="007271B9"/>
    <w:rsid w:val="00736DAD"/>
    <w:rsid w:val="007800BF"/>
    <w:rsid w:val="007B569A"/>
    <w:rsid w:val="007D5887"/>
    <w:rsid w:val="007E1D0B"/>
    <w:rsid w:val="007E5D31"/>
    <w:rsid w:val="007E796E"/>
    <w:rsid w:val="0080785F"/>
    <w:rsid w:val="00823C1D"/>
    <w:rsid w:val="0084224A"/>
    <w:rsid w:val="00853063"/>
    <w:rsid w:val="00863B28"/>
    <w:rsid w:val="008726A7"/>
    <w:rsid w:val="008A611D"/>
    <w:rsid w:val="008E1F79"/>
    <w:rsid w:val="008E6121"/>
    <w:rsid w:val="008E675C"/>
    <w:rsid w:val="00911073"/>
    <w:rsid w:val="0095261A"/>
    <w:rsid w:val="00956CC1"/>
    <w:rsid w:val="0099091E"/>
    <w:rsid w:val="009C6FD3"/>
    <w:rsid w:val="009E5A26"/>
    <w:rsid w:val="00A23AD8"/>
    <w:rsid w:val="00A4402B"/>
    <w:rsid w:val="00A46982"/>
    <w:rsid w:val="00A75884"/>
    <w:rsid w:val="00AA707C"/>
    <w:rsid w:val="00AB7EEA"/>
    <w:rsid w:val="00AF3758"/>
    <w:rsid w:val="00AF3E75"/>
    <w:rsid w:val="00AF7BB3"/>
    <w:rsid w:val="00B241E6"/>
    <w:rsid w:val="00B332ED"/>
    <w:rsid w:val="00B63B30"/>
    <w:rsid w:val="00B66852"/>
    <w:rsid w:val="00B769FC"/>
    <w:rsid w:val="00BA008E"/>
    <w:rsid w:val="00BA4B1E"/>
    <w:rsid w:val="00BD0655"/>
    <w:rsid w:val="00BE7464"/>
    <w:rsid w:val="00C0201F"/>
    <w:rsid w:val="00C14FD0"/>
    <w:rsid w:val="00C31B38"/>
    <w:rsid w:val="00C9125B"/>
    <w:rsid w:val="00CA78BB"/>
    <w:rsid w:val="00CC2617"/>
    <w:rsid w:val="00D36E91"/>
    <w:rsid w:val="00D70203"/>
    <w:rsid w:val="00DE1B14"/>
    <w:rsid w:val="00E206B3"/>
    <w:rsid w:val="00E500D1"/>
    <w:rsid w:val="00E70754"/>
    <w:rsid w:val="00E81C38"/>
    <w:rsid w:val="00EA1824"/>
    <w:rsid w:val="00EC7CB9"/>
    <w:rsid w:val="00ED199E"/>
    <w:rsid w:val="00F17298"/>
    <w:rsid w:val="00F2115D"/>
    <w:rsid w:val="00F41C0C"/>
    <w:rsid w:val="00F57D69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2"/>
  </w:style>
  <w:style w:type="paragraph" w:styleId="Footer">
    <w:name w:val="footer"/>
    <w:basedOn w:val="Normal"/>
    <w:link w:val="Foot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2"/>
  </w:style>
  <w:style w:type="paragraph" w:customStyle="1" w:styleId="Default">
    <w:name w:val="Default"/>
    <w:rsid w:val="00144A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824"/>
    <w:rPr>
      <w:color w:val="800080" w:themeColor="followedHyperlink"/>
      <w:u w:val="single"/>
    </w:rPr>
  </w:style>
  <w:style w:type="paragraph" w:customStyle="1" w:styleId="ScheduleFormal6">
    <w:name w:val="Schedule Formal 6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1">
    <w:name w:val="Schedule Formal 1"/>
    <w:basedOn w:val="Normal"/>
    <w:next w:val="ScheduleFormal2"/>
    <w:rsid w:val="0056492A"/>
    <w:pPr>
      <w:keepNext/>
      <w:spacing w:before="400" w:after="0" w:line="240" w:lineRule="auto"/>
    </w:pPr>
    <w:rPr>
      <w:rFonts w:ascii="Tahoma" w:eastAsia="Times New Roman" w:hAnsi="Tahoma" w:cs="Times New Roman"/>
      <w:b/>
      <w:sz w:val="24"/>
      <w:szCs w:val="24"/>
      <w:lang w:eastAsia="en-US"/>
    </w:rPr>
  </w:style>
  <w:style w:type="paragraph" w:customStyle="1" w:styleId="ScheduleFormal2">
    <w:name w:val="Schedule Formal 2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3">
    <w:name w:val="Schedule Formal 3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4">
    <w:name w:val="Schedule Formal 4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customStyle="1" w:styleId="ScheduleFormal5">
    <w:name w:val="Schedule Formal 5"/>
    <w:basedOn w:val="Normal"/>
    <w:rsid w:val="0056492A"/>
    <w:pPr>
      <w:spacing w:before="240"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TOC2">
    <w:name w:val="toc 2"/>
    <w:basedOn w:val="Normal"/>
    <w:next w:val="Normal"/>
    <w:semiHidden/>
    <w:rsid w:val="0072558B"/>
    <w:pPr>
      <w:tabs>
        <w:tab w:val="right" w:pos="9356"/>
      </w:tabs>
      <w:spacing w:before="120" w:after="0" w:line="240" w:lineRule="auto"/>
      <w:ind w:left="1418" w:hanging="709"/>
    </w:pPr>
    <w:rPr>
      <w:rFonts w:ascii="Tahoma" w:eastAsia="Times New Roman" w:hAnsi="Tahoma" w:cs="Times New Roman"/>
      <w:noProof/>
      <w:sz w:val="19"/>
      <w:szCs w:val="23"/>
      <w:lang w:eastAsia="en-US"/>
    </w:rPr>
  </w:style>
  <w:style w:type="paragraph" w:customStyle="1" w:styleId="Line">
    <w:name w:val="Line"/>
    <w:basedOn w:val="Normal"/>
    <w:next w:val="Normal"/>
    <w:rsid w:val="00AA707C"/>
    <w:pPr>
      <w:pBdr>
        <w:bottom w:val="single" w:sz="4" w:space="1" w:color="auto"/>
      </w:pBdr>
      <w:spacing w:after="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352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13-ecsnl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>2025-04-14T22:54:42+00:00</PPSubmittedDate>
    <PPReferenceNumber xmlns="687c0ba5-25f6-467d-a8e9-4285ca7a69ae" xsi:nil="true"/>
    <PPSubmittedBy xmlns="687c0ba5-25f6-467d-a8e9-4285ca7a69ae">
      <UserInfo>
        <DisplayName>DELIZO, Dan</DisplayName>
        <AccountId>21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2025-04-14T22:56:09+00:00</PPModeratedDate>
    <PPLastReviewedDate xmlns="687c0ba5-25f6-467d-a8e9-4285ca7a69ae">2025-04-14T22:56:09+00:00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>DELIZO, Dan</DisplayName>
        <AccountId>21</AccountId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ECCFD-21B4-449D-809E-C374D91B9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CE547-A807-4F67-B166-BB5A6D07FF31}"/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f4b4e5a9-5503-4f58-8258-119c21c34840"/>
    <ds:schemaRef ds:uri="efac98ab-57d2-4791-ba10-df47d2b32c33"/>
  </ds:schemaRefs>
</ds:datastoreItem>
</file>

<file path=customXml/itemProps4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352</Words>
  <Characters>1986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- Centre-based-service—educator</vt:lpstr>
    </vt:vector>
  </TitlesOfParts>
  <Company>Queensland Government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- The Young Men's Christian Association of Brisbane</dc:title>
  <dc:subject>Enforceable undertaking - The Young Men's Christian Association of Brisbane</dc:subject>
  <dc:creator>Queensland Goverment</dc:creator>
  <cp:keywords>Enforceable undertaking; The Young Men's Christian Association of Brisbane; YMCA</cp:keywords>
  <cp:revision>17</cp:revision>
  <dcterms:created xsi:type="dcterms:W3CDTF">2025-03-21T01:46:00Z</dcterms:created>
  <dcterms:modified xsi:type="dcterms:W3CDTF">2025-04-10T07:23:00Z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  <property fmtid="{D5CDD505-2E9C-101B-9397-08002B2CF9AE}" pid="3" name="ndDocumentId">
    <vt:lpwstr>3440-5363-8699</vt:lpwstr>
  </property>
  <property fmtid="{D5CDD505-2E9C-101B-9397-08002B2CF9AE}" pid="4" name="ndClassificationName">
    <vt:lpwstr>Confidential</vt:lpwstr>
  </property>
  <property fmtid="{D5CDD505-2E9C-101B-9397-08002B2CF9AE}" pid="5" name="ndClassificationLevel">
    <vt:lpwstr>CabinetDefault</vt:lpwstr>
  </property>
  <property fmtid="{D5CDD505-2E9C-101B-9397-08002B2CF9AE}" pid="6" name="ndClassificationId">
    <vt:lpwstr>dfeb464a-7881-45a9-a03f-bd16b2ba5faa</vt:lpwstr>
  </property>
</Properties>
</file>