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8A8B" w14:textId="77777777" w:rsidR="00CE2430" w:rsidRDefault="00CE2430" w:rsidP="004B39EB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</w:pPr>
    </w:p>
    <w:p w14:paraId="5B2CC791" w14:textId="77777777" w:rsidR="004B39EB" w:rsidRPr="004B39EB" w:rsidRDefault="004B39EB" w:rsidP="004B39EB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</w:pPr>
      <w:r w:rsidRPr="004B39EB"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  <w:t>Active</w:t>
      </w:r>
    </w:p>
    <w:p w14:paraId="5FF0F40B" w14:textId="77777777" w:rsidR="004B39EB" w:rsidRDefault="003768A5" w:rsidP="004B39EB">
      <w:pPr>
        <w:spacing w:after="0"/>
        <w:rPr>
          <w:rFonts w:ascii="Calibri" w:eastAsia="+mn-ea" w:hAnsi="Calibri" w:cs="+mn-cs"/>
          <w:color w:val="000000"/>
          <w:kern w:val="24"/>
          <w:szCs w:val="22"/>
          <w:lang w:eastAsia="zh-CN"/>
        </w:rPr>
      </w:pPr>
      <w:r>
        <w:rPr>
          <w:rFonts w:ascii="Calibri" w:eastAsia="+mn-ea" w:hAnsi="Calibri" w:cs="+mn-cs"/>
          <w:color w:val="000000"/>
          <w:kern w:val="24"/>
          <w:szCs w:val="22"/>
          <w:lang w:eastAsia="zh-CN"/>
        </w:rPr>
        <w:t>‘</w:t>
      </w:r>
      <w:r w:rsidR="004B39EB" w:rsidRPr="004B39EB">
        <w:rPr>
          <w:rFonts w:ascii="Calibri" w:eastAsia="+mn-ea" w:hAnsi="Calibri" w:cs="+mn-cs"/>
          <w:color w:val="000000"/>
          <w:kern w:val="24"/>
          <w:szCs w:val="22"/>
          <w:lang w:eastAsia="zh-CN"/>
        </w:rPr>
        <w:t>Active learning is described as, ‘</w:t>
      </w:r>
      <w:r w:rsidR="004B39EB">
        <w:rPr>
          <w:rFonts w:ascii="Calibri" w:eastAsia="+mn-ea" w:hAnsi="Calibri" w:cs="+mn-cs"/>
          <w:color w:val="000000"/>
          <w:kern w:val="24"/>
          <w:szCs w:val="22"/>
          <w:lang w:eastAsia="zh-CN"/>
        </w:rPr>
        <w:t xml:space="preserve">Requiring physical and embodied </w:t>
      </w:r>
      <w:r w:rsidR="004B39EB" w:rsidRPr="004B39EB">
        <w:rPr>
          <w:rFonts w:ascii="Calibri" w:eastAsia="+mn-ea" w:hAnsi="Calibri" w:cs="+mn-cs"/>
          <w:color w:val="000000"/>
          <w:kern w:val="24"/>
          <w:szCs w:val="22"/>
          <w:lang w:eastAsia="zh-CN"/>
        </w:rPr>
        <w:t xml:space="preserve">engagement across all areas of learning. Whether this is indoors or outdoors, activity is essential </w:t>
      </w:r>
      <w:proofErr w:type="gramStart"/>
      <w:r w:rsidR="004B39EB" w:rsidRPr="004B39EB">
        <w:rPr>
          <w:rFonts w:ascii="Calibri" w:eastAsia="+mn-ea" w:hAnsi="Calibri" w:cs="+mn-cs"/>
          <w:color w:val="000000"/>
          <w:kern w:val="24"/>
          <w:szCs w:val="22"/>
          <w:lang w:eastAsia="zh-CN"/>
        </w:rPr>
        <w:t>in order to</w:t>
      </w:r>
      <w:proofErr w:type="gramEnd"/>
      <w:r w:rsidR="004B39EB" w:rsidRPr="004B39EB">
        <w:rPr>
          <w:rFonts w:ascii="Calibri" w:eastAsia="+mn-ea" w:hAnsi="Calibri" w:cs="+mn-cs"/>
          <w:color w:val="000000"/>
          <w:kern w:val="24"/>
          <w:szCs w:val="22"/>
          <w:lang w:eastAsia="zh-CN"/>
        </w:rPr>
        <w:t xml:space="preserve"> activate children’s full potential. Their focus, concentration, motivation and self-regulation are enhanced through moving, doing and interacting within a range of learning environments.’</w:t>
      </w:r>
      <w:r w:rsidR="00A94A4E">
        <w:rPr>
          <w:rStyle w:val="FootnoteReference"/>
          <w:rFonts w:ascii="Calibri" w:eastAsia="+mn-ea" w:hAnsi="Calibri" w:cs="+mn-cs"/>
          <w:color w:val="000000"/>
          <w:kern w:val="24"/>
          <w:szCs w:val="22"/>
          <w:lang w:eastAsia="zh-CN"/>
        </w:rPr>
        <w:footnoteReference w:id="1"/>
      </w:r>
    </w:p>
    <w:p w14:paraId="06D13BDB" w14:textId="25BC6641" w:rsidR="00ED489C" w:rsidRPr="00840171" w:rsidRDefault="00ED489C" w:rsidP="00AE2D41">
      <w:pPr>
        <w:widowControl w:val="0"/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4B39EB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4B39EB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5182"/>
        <w:gridCol w:w="5812"/>
        <w:gridCol w:w="5245"/>
      </w:tblGrid>
      <w:tr w:rsidR="004B39EB" w:rsidRPr="004B39EB" w14:paraId="00AB6E94" w14:textId="77777777" w:rsidTr="00CE2430">
        <w:tc>
          <w:tcPr>
            <w:tcW w:w="5132" w:type="dxa"/>
            <w:shd w:val="clear" w:color="auto" w:fill="70AD47" w:themeFill="accent6"/>
          </w:tcPr>
          <w:p w14:paraId="39CF3931" w14:textId="68DA2C63" w:rsidR="004B39EB" w:rsidRPr="004B39EB" w:rsidRDefault="00ED489C" w:rsidP="004B39E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cs="Arial"/>
                <w:b/>
                <w:color w:val="FFFFFF"/>
                <w:lang w:val="en-GB"/>
              </w:rPr>
            </w:pPr>
            <w:r>
              <w:rPr>
                <w:rFonts w:cs="Arial"/>
                <w:b/>
                <w:color w:val="FFFFFF"/>
                <w:lang w:val="en-GB"/>
              </w:rPr>
              <w:t>Teacher/</w:t>
            </w:r>
            <w:r w:rsidR="00AC7FEE">
              <w:rPr>
                <w:rFonts w:cs="Arial"/>
                <w:b/>
                <w:color w:val="FFFFFF"/>
                <w:lang w:val="en-GB"/>
              </w:rPr>
              <w:t>Teacher a</w:t>
            </w:r>
            <w:r w:rsidR="004B39EB" w:rsidRPr="004B39EB">
              <w:rPr>
                <w:rFonts w:cs="Arial"/>
                <w:b/>
                <w:color w:val="FFFFFF"/>
                <w:lang w:val="en-GB"/>
              </w:rPr>
              <w:t>ide behaviours</w:t>
            </w:r>
          </w:p>
        </w:tc>
        <w:tc>
          <w:tcPr>
            <w:tcW w:w="5182" w:type="dxa"/>
            <w:shd w:val="clear" w:color="auto" w:fill="70AD47" w:themeFill="accent6"/>
          </w:tcPr>
          <w:p w14:paraId="5DD1D58E" w14:textId="77777777" w:rsidR="004B39EB" w:rsidRPr="004B39EB" w:rsidRDefault="004B39EB" w:rsidP="004B39E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cs="Arial"/>
                <w:b/>
                <w:color w:val="FFFFFF"/>
                <w:lang w:val="en-GB"/>
              </w:rPr>
            </w:pPr>
            <w:r w:rsidRPr="004B39EB">
              <w:rPr>
                <w:rFonts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812" w:type="dxa"/>
            <w:shd w:val="clear" w:color="auto" w:fill="70AD47" w:themeFill="accent6"/>
          </w:tcPr>
          <w:p w14:paraId="55FA90BC" w14:textId="77777777" w:rsidR="004B39EB" w:rsidRPr="004B39EB" w:rsidRDefault="004B39EB" w:rsidP="004B39E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cs="Arial"/>
                <w:b/>
                <w:color w:val="FFFFFF"/>
                <w:lang w:val="en-GB"/>
              </w:rPr>
            </w:pPr>
            <w:r w:rsidRPr="004B39EB">
              <w:rPr>
                <w:rFonts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245" w:type="dxa"/>
            <w:shd w:val="clear" w:color="auto" w:fill="70AD47" w:themeFill="accent6"/>
          </w:tcPr>
          <w:p w14:paraId="088F6892" w14:textId="77777777" w:rsidR="004B39EB" w:rsidRPr="004B39EB" w:rsidRDefault="004B39EB" w:rsidP="004B39E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cs="Arial"/>
                <w:b/>
                <w:color w:val="FFFFFF"/>
                <w:lang w:val="en-GB"/>
              </w:rPr>
            </w:pPr>
            <w:r w:rsidRPr="004B39EB">
              <w:rPr>
                <w:rFonts w:cs="Arial"/>
                <w:b/>
                <w:color w:val="FFFFFF"/>
                <w:lang w:val="en-GB"/>
              </w:rPr>
              <w:t>My reflections</w:t>
            </w:r>
          </w:p>
        </w:tc>
      </w:tr>
      <w:tr w:rsidR="004B39EB" w:rsidRPr="004B39EB" w14:paraId="6C76D6BF" w14:textId="77777777" w:rsidTr="00CE2430">
        <w:tc>
          <w:tcPr>
            <w:tcW w:w="5132" w:type="dxa"/>
          </w:tcPr>
          <w:p w14:paraId="4BBDC675" w14:textId="23640406" w:rsidR="004B39EB" w:rsidRPr="004B39EB" w:rsidRDefault="00ED489C" w:rsidP="00CE2430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>
              <w:rPr>
                <w:rFonts w:ascii="MetaBoldLF-Roman" w:hAnsi="MetaBoldLF-Roman" w:cs="MetaBoldLF-Roman"/>
                <w:b/>
                <w:bCs/>
                <w:szCs w:val="22"/>
              </w:rPr>
              <w:t>Teacher</w:t>
            </w:r>
            <w:r w:rsidR="000457A2">
              <w:rPr>
                <w:rFonts w:ascii="MetaBoldLF-Roman" w:hAnsi="MetaBoldLF-Roman" w:cs="MetaBoldLF-Roman"/>
                <w:b/>
                <w:bCs/>
                <w:szCs w:val="22"/>
              </w:rPr>
              <w:t>s</w:t>
            </w:r>
            <w:r>
              <w:rPr>
                <w:rFonts w:ascii="MetaBoldLF-Roman" w:hAnsi="MetaBoldLF-Roman" w:cs="MetaBoldLF-Roman"/>
                <w:b/>
                <w:bCs/>
                <w:szCs w:val="22"/>
              </w:rPr>
              <w:t>/</w:t>
            </w:r>
            <w:r w:rsidR="00AC7FEE">
              <w:rPr>
                <w:rFonts w:ascii="MetaBoldLF-Roman" w:hAnsi="MetaBoldLF-Roman" w:cs="MetaBoldLF-Roman"/>
                <w:b/>
                <w:bCs/>
                <w:szCs w:val="22"/>
              </w:rPr>
              <w:t>Teacher a</w:t>
            </w:r>
            <w:r w:rsidR="004B39EB" w:rsidRPr="004B39EB">
              <w:rPr>
                <w:rFonts w:ascii="MetaBoldLF-Roman" w:hAnsi="MetaBoldLF-Roman" w:cs="MetaBoldLF-Roman"/>
                <w:b/>
                <w:bCs/>
                <w:szCs w:val="22"/>
              </w:rPr>
              <w:t>ides may:</w:t>
            </w:r>
          </w:p>
          <w:p w14:paraId="4A73542A" w14:textId="47AB914C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provide opportunities for young learners to engage in physical and embodied learning </w:t>
            </w:r>
          </w:p>
          <w:p w14:paraId="4570B682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 support young learners to access the curriculum in both indoor and outdoor learning spaces </w:t>
            </w:r>
          </w:p>
          <w:p w14:paraId="10167E9C" w14:textId="1BF1E79B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provide a range of open-ended materials, including realistic, symbolic and unstructured resources that encourage problem solving and activate young learners’ full potential </w:t>
            </w:r>
          </w:p>
          <w:p w14:paraId="4A03D0EE" w14:textId="04EE49D2" w:rsidR="004B39EB" w:rsidRPr="004B39EB" w:rsidRDefault="000D5186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>scaffold young</w:t>
            </w:r>
            <w:r w:rsidR="004B39EB" w:rsidRPr="004B39EB">
              <w:rPr>
                <w:rFonts w:ascii="Calibri" w:hAnsi="Calibri" w:cs="Arial"/>
                <w:color w:val="000000"/>
                <w:lang w:val="en-GB"/>
              </w:rPr>
              <w:t xml:space="preserve"> learners’ focus, concentration, motivation and self-regulation during independent, small group and whole class learning experiences</w:t>
            </w:r>
          </w:p>
          <w:p w14:paraId="0F732563" w14:textId="77777777" w:rsidR="004B39EB" w:rsidRPr="004B39EB" w:rsidRDefault="004B39EB" w:rsidP="00CE2430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contextualSpacing/>
              <w:textAlignment w:val="center"/>
              <w:rPr>
                <w:rFonts w:ascii="MetaNormalLF-Roman" w:hAnsi="MetaNormalLF-Roman" w:cs="MetaNormalLF-Roman"/>
                <w:szCs w:val="22"/>
              </w:rPr>
            </w:pPr>
          </w:p>
        </w:tc>
        <w:tc>
          <w:tcPr>
            <w:tcW w:w="5182" w:type="dxa"/>
          </w:tcPr>
          <w:p w14:paraId="4F6E0228" w14:textId="77777777" w:rsidR="004B39EB" w:rsidRPr="004B39EB" w:rsidRDefault="004B39EB" w:rsidP="00CE2430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 w:rsidRPr="004B39EB">
              <w:rPr>
                <w:rFonts w:ascii="MetaBoldLF-Roman" w:hAnsi="MetaBoldLF-Roman" w:cs="MetaBoldLF-Roman"/>
                <w:b/>
                <w:bCs/>
                <w:szCs w:val="22"/>
              </w:rPr>
              <w:t>Young learners may:</w:t>
            </w:r>
          </w:p>
          <w:p w14:paraId="4A55A567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move, do and interact appropriately in a range of learning situations to engage in higher order thinking and build on current learning </w:t>
            </w:r>
          </w:p>
          <w:p w14:paraId="52B73755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engage in a range of learning spaces, both indoors and outdoors </w:t>
            </w:r>
          </w:p>
          <w:p w14:paraId="59D2ACB1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engage with a range of open-ended, realistic, symbolic, and unstructured resources that encourage problem solving </w:t>
            </w:r>
          </w:p>
          <w:p w14:paraId="0237E2F6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>participate with increasing focus, concentration, motivation and self-regulation</w:t>
            </w:r>
          </w:p>
        </w:tc>
        <w:tc>
          <w:tcPr>
            <w:tcW w:w="5812" w:type="dxa"/>
          </w:tcPr>
          <w:p w14:paraId="350AB6FB" w14:textId="77777777" w:rsidR="004B39EB" w:rsidRPr="004B39EB" w:rsidRDefault="004B39EB" w:rsidP="00CE2430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Calibri" w:hAnsi="Calibri" w:cs="MetaNormalLF-Roman"/>
                <w:color w:val="4F81BD"/>
                <w:szCs w:val="22"/>
              </w:rPr>
            </w:pPr>
          </w:p>
          <w:p w14:paraId="771A9D30" w14:textId="2A4ED45D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How do I support young learners to engage in physical and embodied learning? How can these opportunities be extended? </w:t>
            </w:r>
          </w:p>
          <w:p w14:paraId="530D41C2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In which learning areas am I currently providing opportunities for active learning? </w:t>
            </w:r>
          </w:p>
          <w:p w14:paraId="3EA08B1D" w14:textId="77777777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>How can I build upon these opportunities?</w:t>
            </w:r>
          </w:p>
          <w:p w14:paraId="3005B6FF" w14:textId="2D35D053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How and when do I provide opportunities for young learners to access the curriculum using active learning processes in both indoor and outdoor learning spaces? </w:t>
            </w:r>
          </w:p>
          <w:p w14:paraId="664A17D8" w14:textId="0485C025" w:rsidR="004B39EB" w:rsidRPr="004B39EB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How and when do I provide open-ended materials, including realistic, symbolic and unstructured resources that support active learning? How and when can these materials be used? </w:t>
            </w:r>
          </w:p>
          <w:p w14:paraId="4381B70C" w14:textId="1A290391" w:rsidR="004B39EB" w:rsidRPr="00CE2430" w:rsidRDefault="004B39EB" w:rsidP="00CE243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MetaNormalLF-Roman" w:hAnsi="MetaNormalLF-Roman" w:cs="MetaNormalLF-Roman"/>
                <w:color w:val="4F81BD"/>
                <w:szCs w:val="22"/>
              </w:rPr>
            </w:pPr>
            <w:r w:rsidRPr="004B39EB">
              <w:rPr>
                <w:rFonts w:ascii="Calibri" w:hAnsi="Calibri" w:cs="Arial"/>
                <w:color w:val="000000"/>
                <w:lang w:val="en-GB"/>
              </w:rPr>
              <w:t xml:space="preserve">What do I notice about young learners’ focus, concentration, motivation and self-regulation when they engage in active learning experiences as individuals, in small groups and as a whole class? How is this information shared with the </w:t>
            </w:r>
            <w:r w:rsidR="00ED489C">
              <w:rPr>
                <w:rFonts w:ascii="Calibri" w:hAnsi="Calibri" w:cs="Arial"/>
                <w:color w:val="000000"/>
                <w:lang w:val="en-GB"/>
              </w:rPr>
              <w:t>teaching team</w:t>
            </w:r>
            <w:r w:rsidRPr="004B39EB">
              <w:rPr>
                <w:rFonts w:ascii="Calibri" w:hAnsi="Calibri" w:cs="Arial"/>
                <w:color w:val="000000"/>
                <w:lang w:val="en-GB"/>
              </w:rPr>
              <w:t>?</w:t>
            </w:r>
          </w:p>
        </w:tc>
        <w:tc>
          <w:tcPr>
            <w:tcW w:w="5245" w:type="dxa"/>
          </w:tcPr>
          <w:p w14:paraId="625831AE" w14:textId="77777777" w:rsidR="004B39EB" w:rsidRPr="004B39EB" w:rsidRDefault="004B39EB" w:rsidP="004B39EB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4B39EB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261944DD" w14:textId="77777777" w:rsidR="004B39EB" w:rsidRDefault="004B39EB" w:rsidP="004B39EB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Calibri" w:eastAsia="MS Mincho" w:hAnsi="Calibri" w:cs="Arial"/>
          <w:b/>
          <w:color w:val="000000"/>
          <w:szCs w:val="20"/>
          <w:lang w:val="en-GB"/>
        </w:rPr>
      </w:pPr>
    </w:p>
    <w:p w14:paraId="4B260E87" w14:textId="132C4E16" w:rsidR="005D5CD7" w:rsidRPr="00840171" w:rsidRDefault="005D5CD7" w:rsidP="00AE2D41">
      <w:pPr>
        <w:widowControl w:val="0"/>
        <w:suppressAutoHyphens/>
        <w:autoSpaceDE w:val="0"/>
        <w:autoSpaceDN w:val="0"/>
        <w:adjustRightInd w:val="0"/>
        <w:spacing w:after="0"/>
        <w:ind w:left="714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sectPr w:rsidR="005D5CD7" w:rsidRPr="00840171" w:rsidSect="00CE2430">
      <w:headerReference w:type="default" r:id="rId11"/>
      <w:footerReference w:type="default" r:id="rId12"/>
      <w:pgSz w:w="23800" w:h="1682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FE69" w14:textId="77777777" w:rsidR="00716B4F" w:rsidRDefault="00716B4F" w:rsidP="00190C24">
      <w:r>
        <w:separator/>
      </w:r>
    </w:p>
  </w:endnote>
  <w:endnote w:type="continuationSeparator" w:id="0">
    <w:p w14:paraId="5D519749" w14:textId="77777777" w:rsidR="00716B4F" w:rsidRDefault="00716B4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594D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2CEC9136" wp14:editId="0A8B7F7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9089" w14:textId="77777777" w:rsidR="00716B4F" w:rsidRDefault="00716B4F" w:rsidP="00190C24">
      <w:r>
        <w:separator/>
      </w:r>
    </w:p>
  </w:footnote>
  <w:footnote w:type="continuationSeparator" w:id="0">
    <w:p w14:paraId="1051DE88" w14:textId="77777777" w:rsidR="00716B4F" w:rsidRDefault="00716B4F" w:rsidP="00190C24">
      <w:r>
        <w:continuationSeparator/>
      </w:r>
    </w:p>
  </w:footnote>
  <w:footnote w:id="1">
    <w:p w14:paraId="24A4B5B8" w14:textId="77777777" w:rsidR="00A94A4E" w:rsidRDefault="00A94A4E" w:rsidP="00A94A4E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p.28.</w:t>
      </w:r>
    </w:p>
    <w:p w14:paraId="5DDC1900" w14:textId="77777777" w:rsidR="00A94A4E" w:rsidRPr="00A94A4E" w:rsidRDefault="00A94A4E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549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684C3732" wp14:editId="4EEE74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F00EE960"/>
    <w:lvl w:ilvl="0" w:tplc="A67448C8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18332">
    <w:abstractNumId w:val="0"/>
  </w:num>
  <w:num w:numId="2" w16cid:durableId="381907770">
    <w:abstractNumId w:val="2"/>
  </w:num>
  <w:num w:numId="3" w16cid:durableId="898906504">
    <w:abstractNumId w:val="0"/>
  </w:num>
  <w:num w:numId="4" w16cid:durableId="1985506424">
    <w:abstractNumId w:val="1"/>
  </w:num>
  <w:num w:numId="5" w16cid:durableId="115772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457A2"/>
    <w:rsid w:val="0007176E"/>
    <w:rsid w:val="00075D6C"/>
    <w:rsid w:val="000A7230"/>
    <w:rsid w:val="000B61AC"/>
    <w:rsid w:val="000B6B4F"/>
    <w:rsid w:val="000D5186"/>
    <w:rsid w:val="000F5EE3"/>
    <w:rsid w:val="000F7FDE"/>
    <w:rsid w:val="001142E3"/>
    <w:rsid w:val="0017085C"/>
    <w:rsid w:val="00173EB4"/>
    <w:rsid w:val="00190C24"/>
    <w:rsid w:val="001A6441"/>
    <w:rsid w:val="001D3623"/>
    <w:rsid w:val="00211C13"/>
    <w:rsid w:val="002371F7"/>
    <w:rsid w:val="00253C8D"/>
    <w:rsid w:val="0029515B"/>
    <w:rsid w:val="002F78A2"/>
    <w:rsid w:val="00333459"/>
    <w:rsid w:val="00364D1A"/>
    <w:rsid w:val="003768A5"/>
    <w:rsid w:val="00404BCA"/>
    <w:rsid w:val="00444F85"/>
    <w:rsid w:val="00490AB1"/>
    <w:rsid w:val="004912DC"/>
    <w:rsid w:val="004B39EB"/>
    <w:rsid w:val="004E2CF2"/>
    <w:rsid w:val="00590218"/>
    <w:rsid w:val="005979F1"/>
    <w:rsid w:val="005D5CD7"/>
    <w:rsid w:val="005F4331"/>
    <w:rsid w:val="006239A5"/>
    <w:rsid w:val="00636B71"/>
    <w:rsid w:val="00653CFD"/>
    <w:rsid w:val="00677D81"/>
    <w:rsid w:val="006C30B8"/>
    <w:rsid w:val="006C3D8E"/>
    <w:rsid w:val="006D1D98"/>
    <w:rsid w:val="006D6D0A"/>
    <w:rsid w:val="00716B4F"/>
    <w:rsid w:val="00717791"/>
    <w:rsid w:val="00775795"/>
    <w:rsid w:val="00781EFA"/>
    <w:rsid w:val="007D1DEB"/>
    <w:rsid w:val="00832CE9"/>
    <w:rsid w:val="00840171"/>
    <w:rsid w:val="00853B7B"/>
    <w:rsid w:val="008742BC"/>
    <w:rsid w:val="008E13B9"/>
    <w:rsid w:val="008E6452"/>
    <w:rsid w:val="008E6F9C"/>
    <w:rsid w:val="00907963"/>
    <w:rsid w:val="00927B2C"/>
    <w:rsid w:val="00940C2F"/>
    <w:rsid w:val="00957FE2"/>
    <w:rsid w:val="0096595E"/>
    <w:rsid w:val="009A580F"/>
    <w:rsid w:val="009E5EE5"/>
    <w:rsid w:val="00A33348"/>
    <w:rsid w:val="00A47F67"/>
    <w:rsid w:val="00A606D0"/>
    <w:rsid w:val="00A65710"/>
    <w:rsid w:val="00A778A7"/>
    <w:rsid w:val="00A87C08"/>
    <w:rsid w:val="00A94A4E"/>
    <w:rsid w:val="00A95C27"/>
    <w:rsid w:val="00AB0A25"/>
    <w:rsid w:val="00AC7FEE"/>
    <w:rsid w:val="00AD56BC"/>
    <w:rsid w:val="00AE2D41"/>
    <w:rsid w:val="00B33337"/>
    <w:rsid w:val="00B8699D"/>
    <w:rsid w:val="00BB51C1"/>
    <w:rsid w:val="00BD7523"/>
    <w:rsid w:val="00C36EDF"/>
    <w:rsid w:val="00C47EFD"/>
    <w:rsid w:val="00C64F6E"/>
    <w:rsid w:val="00CA4C60"/>
    <w:rsid w:val="00CB07AD"/>
    <w:rsid w:val="00CD793C"/>
    <w:rsid w:val="00CE2430"/>
    <w:rsid w:val="00CF107F"/>
    <w:rsid w:val="00D01CD2"/>
    <w:rsid w:val="00D03DC0"/>
    <w:rsid w:val="00D47A82"/>
    <w:rsid w:val="00D75050"/>
    <w:rsid w:val="00D842DF"/>
    <w:rsid w:val="00D912CE"/>
    <w:rsid w:val="00DC5E03"/>
    <w:rsid w:val="00E26F9B"/>
    <w:rsid w:val="00ED489C"/>
    <w:rsid w:val="00EF474F"/>
    <w:rsid w:val="00EF4AC5"/>
    <w:rsid w:val="00F43AC8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600D"/>
  <w15:docId w15:val="{C2C2A1E5-A15C-425E-ACC5-D04C8E7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4B39EB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4A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A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A4E"/>
    <w:rPr>
      <w:vertAlign w:val="superscript"/>
    </w:rPr>
  </w:style>
  <w:style w:type="paragraph" w:styleId="Revision">
    <w:name w:val="Revision"/>
    <w:hidden/>
    <w:uiPriority w:val="99"/>
    <w:semiHidden/>
    <w:rsid w:val="00ED48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2025-08-05T05:00:25+00:00</PPModeratedDate>
    <PPLastReviewedDate xmlns="687c0ba5-25f6-467d-a8e9-4285ca7a69ae">2025-08-05T05:00:25+00:00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schemas.microsoft.com/sharepoint/v3"/>
    <ds:schemaRef ds:uri="163879fb-622b-44d7-a731-33e3b194bd22"/>
    <ds:schemaRef ds:uri="f7dfad7f-19cb-4f76-a2c0-0e911a73668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4F9ACC4-7EF5-4D8E-888C-BA38D2277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37BC6-FB6D-49BD-874F-B65038386B77}"/>
</file>

<file path=customXml/itemProps4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1 - Active Reflection Questions</dc:title>
  <dc:subject>Module 1 - Active Reflection Questions</dc:subject>
  <dc:creator>Queensland Government</dc:creator>
  <cp:keywords>Module 1; Active Reflection Questions</cp:keywords>
  <cp:revision>2</cp:revision>
  <cp:lastPrinted>2017-12-18T04:28:00Z</cp:lastPrinted>
  <dcterms:created xsi:type="dcterms:W3CDTF">2025-07-28T02:35:00Z</dcterms:created>
  <dcterms:modified xsi:type="dcterms:W3CDTF">2025-07-28T02:35:00Z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