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F1198A"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F1198A" w:rsidP="00F70AE5">
            <w:pPr>
              <w:jc w:val="both"/>
              <w:rPr>
                <w:rFonts w:ascii="Arial" w:hAnsi="Arial" w:cs="Arial"/>
                <w:b/>
              </w:rPr>
            </w:pPr>
            <w:r w:rsidRPr="00F1198A">
              <w:rPr>
                <w:rFonts w:ascii="Arial" w:hAnsi="Arial" w:cs="Arial"/>
                <w:b/>
              </w:rPr>
              <w:t xml:space="preserve">Where is Possum’s tree?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854902" w:rsidRPr="00854902" w:rsidRDefault="00854902" w:rsidP="00854902">
            <w:pPr>
              <w:tabs>
                <w:tab w:val="left" w:pos="288"/>
              </w:tabs>
              <w:jc w:val="both"/>
              <w:rPr>
                <w:rFonts w:ascii="Arial" w:hAnsi="Arial" w:cs="Arial"/>
              </w:rPr>
            </w:pPr>
            <w:r w:rsidRPr="00854902">
              <w:rPr>
                <w:rFonts w:ascii="Arial" w:hAnsi="Arial" w:cs="Arial"/>
              </w:rPr>
              <w:t xml:space="preserve">- Literacy </w:t>
            </w:r>
          </w:p>
          <w:p w:rsidR="00854902" w:rsidRPr="00854902" w:rsidRDefault="00854902" w:rsidP="00854902">
            <w:pPr>
              <w:tabs>
                <w:tab w:val="left" w:pos="288"/>
              </w:tabs>
              <w:jc w:val="both"/>
              <w:rPr>
                <w:rFonts w:ascii="Arial" w:hAnsi="Arial" w:cs="Arial"/>
              </w:rPr>
            </w:pPr>
            <w:r w:rsidRPr="00854902">
              <w:rPr>
                <w:rFonts w:ascii="Arial" w:hAnsi="Arial" w:cs="Arial"/>
              </w:rPr>
              <w:t>- Writing a letter, written English</w:t>
            </w:r>
          </w:p>
          <w:p w:rsidR="00854902" w:rsidRPr="00854902" w:rsidRDefault="00854902" w:rsidP="00854902">
            <w:pPr>
              <w:tabs>
                <w:tab w:val="left" w:pos="288"/>
              </w:tabs>
              <w:jc w:val="both"/>
              <w:rPr>
                <w:rFonts w:ascii="Arial" w:hAnsi="Arial" w:cs="Arial"/>
              </w:rPr>
            </w:pPr>
            <w:r w:rsidRPr="00854902">
              <w:rPr>
                <w:rFonts w:ascii="Arial" w:hAnsi="Arial" w:cs="Arial"/>
              </w:rPr>
              <w:t>- Addressing and posting a letter</w:t>
            </w:r>
          </w:p>
          <w:p w:rsidR="00854902" w:rsidRPr="00854902" w:rsidRDefault="00854902" w:rsidP="00854902">
            <w:pPr>
              <w:tabs>
                <w:tab w:val="left" w:pos="288"/>
              </w:tabs>
              <w:jc w:val="both"/>
              <w:rPr>
                <w:rFonts w:ascii="Arial" w:hAnsi="Arial" w:cs="Arial"/>
              </w:rPr>
            </w:pPr>
            <w:r w:rsidRPr="00854902">
              <w:rPr>
                <w:rFonts w:ascii="Arial" w:hAnsi="Arial" w:cs="Arial"/>
              </w:rPr>
              <w:t>- Signage</w:t>
            </w:r>
          </w:p>
          <w:p w:rsidR="00F70AE5" w:rsidRPr="005F1BD4" w:rsidRDefault="00854902" w:rsidP="00854902">
            <w:pPr>
              <w:tabs>
                <w:tab w:val="left" w:pos="288"/>
              </w:tabs>
              <w:jc w:val="both"/>
              <w:rPr>
                <w:rFonts w:ascii="Arial" w:hAnsi="Arial" w:cs="Arial"/>
                <w:i/>
              </w:rPr>
            </w:pPr>
            <w:r w:rsidRPr="00854902">
              <w:rPr>
                <w:rFonts w:ascii="Arial" w:hAnsi="Arial" w:cs="Arial"/>
              </w:rPr>
              <w:t>- Appreciation, giving/receiving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48790F" w:rsidRDefault="00F1198A" w:rsidP="00F70AE5">
            <w:pPr>
              <w:jc w:val="both"/>
              <w:rPr>
                <w:rFonts w:ascii="Arial" w:hAnsi="Arial" w:cs="Arial"/>
              </w:rPr>
            </w:pPr>
            <w:r w:rsidRPr="00F1198A">
              <w:rPr>
                <w:rFonts w:ascii="Arial" w:hAnsi="Arial" w:cs="Arial"/>
              </w:rPr>
              <w:t xml:space="preserve">Possum notices that Sally gets letters but he doesn't. He thinks maybe it’s because the postman doesn't know where his tree is. Sally suggests </w:t>
            </w:r>
            <w:r w:rsidR="00713119" w:rsidRPr="00F1198A">
              <w:rPr>
                <w:rFonts w:ascii="Arial" w:hAnsi="Arial" w:cs="Arial"/>
              </w:rPr>
              <w:t>its</w:t>
            </w:r>
            <w:r w:rsidRPr="00F1198A">
              <w:rPr>
                <w:rFonts w:ascii="Arial" w:hAnsi="Arial" w:cs="Arial"/>
              </w:rPr>
              <w:t xml:space="preserve"> maybe because he doesn't write any letters. Sally helps Possum write a letter to Amanda. While Sally posts Possum’s letter, Possum writes a sign. Later on, Amanda visits with a letterbox for Possum, inside it is a letter for Possum.</w:t>
            </w:r>
          </w:p>
          <w:p w:rsidR="00F1198A" w:rsidRPr="00936666" w:rsidRDefault="00F1198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48790F" w:rsidRDefault="00F1198A" w:rsidP="00F70AE5">
            <w:pPr>
              <w:jc w:val="both"/>
              <w:rPr>
                <w:rFonts w:ascii="Arial" w:hAnsi="Arial" w:cs="Arial"/>
              </w:rPr>
            </w:pPr>
            <w:r w:rsidRPr="00F1198A">
              <w:rPr>
                <w:rFonts w:ascii="Arial" w:hAnsi="Arial" w:cs="Arial"/>
              </w:rPr>
              <w:t>Possum collects mail for Sally from the letterbox and wonders why he doesn’t receive any letters. Sally explains to Possum that people know where his tree is and that he might not receive any letters because he doesn’t send any letters to his friends. Sally offers to help Possum write a letter to Amanda. Once the letter is finished, Sally and Possum place the letter in an envelope, address the letter and put a stamp on it ready for posting. While Sally is posting the letter, Poss</w:t>
            </w:r>
            <w:r>
              <w:rPr>
                <w:rFonts w:ascii="Arial" w:hAnsi="Arial" w:cs="Arial"/>
              </w:rPr>
              <w:t>um makes a sign for his tree as</w:t>
            </w:r>
            <w:r w:rsidRPr="00F1198A">
              <w:rPr>
                <w:rFonts w:ascii="Arial" w:hAnsi="Arial" w:cs="Arial"/>
              </w:rPr>
              <w:t xml:space="preserve"> well as other items in the backyard. Amanda visits to thank Possum for his letter and delivers a letterbox that she has made especially for him. While Possum is distracted, Amanda surprises Possum with the delivery of a letter in his new letterbox!</w:t>
            </w:r>
          </w:p>
          <w:p w:rsidR="00F1198A" w:rsidRPr="00CB334E" w:rsidRDefault="00F1198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F1198A" w:rsidP="00F1198A">
            <w:pPr>
              <w:pStyle w:val="ListParagraph"/>
              <w:numPr>
                <w:ilvl w:val="0"/>
                <w:numId w:val="7"/>
              </w:numPr>
              <w:jc w:val="both"/>
              <w:rPr>
                <w:rFonts w:ascii="Arial" w:hAnsi="Arial" w:cs="Arial"/>
              </w:rPr>
            </w:pPr>
            <w:r w:rsidRPr="00F1198A">
              <w:rPr>
                <w:rFonts w:ascii="Arial" w:hAnsi="Arial" w:cs="Arial"/>
              </w:rPr>
              <w:t>Writing and posting letters to friends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F1198A" w:rsidP="00F70AE5">
            <w:pPr>
              <w:jc w:val="both"/>
              <w:rPr>
                <w:rFonts w:ascii="Arial" w:hAnsi="Arial" w:cs="Arial"/>
              </w:rPr>
            </w:pPr>
            <w:r w:rsidRPr="00F1198A">
              <w:rPr>
                <w:rFonts w:ascii="Arial" w:hAnsi="Arial" w:cs="Arial"/>
              </w:rPr>
              <w:t>Children writing letters</w:t>
            </w:r>
          </w:p>
        </w:tc>
      </w:tr>
      <w:tr w:rsidR="00696DEF" w:rsidRPr="002A61D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AE2676" w:rsidRDefault="00F1198A" w:rsidP="00F70AE5">
            <w:pPr>
              <w:jc w:val="both"/>
              <w:rPr>
                <w:rFonts w:ascii="Arial" w:hAnsi="Arial" w:cs="Arial"/>
                <w:lang w:val="de-DE"/>
              </w:rPr>
            </w:pPr>
            <w:r w:rsidRPr="00AE2676">
              <w:rPr>
                <w:rFonts w:ascii="Arial" w:hAnsi="Arial" w:cs="Arial"/>
                <w:lang w:val="de-DE"/>
              </w:rPr>
              <w:t>L-E-T-T-E-R, W-R-I-T-E</w:t>
            </w:r>
          </w:p>
        </w:tc>
      </w:tr>
      <w:tr w:rsidR="00456F57" w:rsidRPr="004C50A8" w:rsidTr="00E1060E">
        <w:trPr>
          <w:trHeight w:val="320"/>
        </w:trPr>
        <w:tc>
          <w:tcPr>
            <w:tcW w:w="2972" w:type="dxa"/>
            <w:vMerge w:val="restart"/>
            <w:shd w:val="clear" w:color="auto" w:fill="FAEDFE"/>
          </w:tcPr>
          <w:p w:rsidR="00E1060E" w:rsidRPr="00AE2676" w:rsidRDefault="00E1060E" w:rsidP="00E1060E">
            <w:pPr>
              <w:rPr>
                <w:rFonts w:ascii="Londrina Solid" w:hAnsi="Londrina Solid"/>
                <w:b/>
                <w:sz w:val="26"/>
                <w:szCs w:val="26"/>
                <w:lang w:val="de-DE"/>
              </w:rPr>
            </w:pPr>
          </w:p>
          <w:p w:rsidR="00E1060E" w:rsidRPr="00AE2676" w:rsidRDefault="00E1060E" w:rsidP="00E1060E">
            <w:pPr>
              <w:rPr>
                <w:rFonts w:ascii="Londrina Solid" w:hAnsi="Londrina Solid"/>
                <w:b/>
                <w:sz w:val="26"/>
                <w:szCs w:val="26"/>
                <w:lang w:val="de-DE"/>
              </w:rPr>
            </w:pPr>
          </w:p>
          <w:p w:rsidR="00E1060E" w:rsidRPr="00AE2676" w:rsidRDefault="00E1060E" w:rsidP="00E1060E">
            <w:pPr>
              <w:rPr>
                <w:rFonts w:ascii="Londrina Solid" w:hAnsi="Londrina Solid"/>
                <w:b/>
                <w:sz w:val="26"/>
                <w:szCs w:val="26"/>
                <w:lang w:val="de-DE"/>
              </w:rPr>
            </w:pPr>
          </w:p>
          <w:p w:rsidR="00E1060E" w:rsidRPr="00AE2676" w:rsidRDefault="00E1060E" w:rsidP="00E1060E">
            <w:pPr>
              <w:rPr>
                <w:rFonts w:ascii="Londrina Solid" w:hAnsi="Londrina Solid"/>
                <w:b/>
                <w:sz w:val="26"/>
                <w:szCs w:val="26"/>
                <w:lang w:val="de-DE"/>
              </w:rPr>
            </w:pPr>
          </w:p>
          <w:p w:rsidR="00E1060E" w:rsidRPr="00AE2676" w:rsidRDefault="00E1060E" w:rsidP="00E1060E">
            <w:pPr>
              <w:rPr>
                <w:rFonts w:ascii="Londrina Solid" w:hAnsi="Londrina Solid"/>
                <w:b/>
                <w:sz w:val="26"/>
                <w:szCs w:val="26"/>
                <w:lang w:val="de-DE"/>
              </w:rPr>
            </w:pPr>
          </w:p>
          <w:p w:rsidR="00E1060E" w:rsidRPr="00AE2676"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8790F" w:rsidRPr="002A61D8" w:rsidRDefault="00F1198A" w:rsidP="0048790F">
            <w:pPr>
              <w:rPr>
                <w:rFonts w:ascii="Arial" w:hAnsi="Arial" w:cs="Arial"/>
                <w:b/>
              </w:rPr>
            </w:pPr>
            <w:r w:rsidRPr="002A61D8">
              <w:rPr>
                <w:rFonts w:ascii="Arial" w:hAnsi="Arial" w:cs="Arial"/>
                <w:b/>
              </w:rPr>
              <w:t xml:space="preserve">Identity </w:t>
            </w:r>
          </w:p>
          <w:p w:rsidR="00F1198A" w:rsidRPr="002A61D8" w:rsidRDefault="00F1198A" w:rsidP="00F1198A">
            <w:pPr>
              <w:pStyle w:val="ListParagraph"/>
              <w:numPr>
                <w:ilvl w:val="0"/>
                <w:numId w:val="3"/>
              </w:numPr>
              <w:rPr>
                <w:rFonts w:ascii="Arial" w:hAnsi="Arial" w:cs="Arial"/>
                <w:b/>
              </w:rPr>
            </w:pPr>
            <w:r w:rsidRPr="002A61D8">
              <w:rPr>
                <w:rFonts w:ascii="Arial" w:hAnsi="Arial" w:cs="Arial"/>
              </w:rPr>
              <w:t>Children feel safe, secure, and supported</w:t>
            </w:r>
          </w:p>
          <w:p w:rsidR="0048790F" w:rsidRPr="002A61D8" w:rsidRDefault="0048790F" w:rsidP="00F1198A">
            <w:pPr>
              <w:rPr>
                <w:rFonts w:ascii="Arial" w:hAnsi="Arial" w:cs="Arial"/>
                <w:b/>
              </w:rPr>
            </w:pPr>
            <w:r w:rsidRPr="002A61D8">
              <w:rPr>
                <w:rFonts w:ascii="Arial" w:hAnsi="Arial" w:cs="Arial"/>
                <w:b/>
              </w:rPr>
              <w:t>Children are effective communicators</w:t>
            </w:r>
          </w:p>
          <w:p w:rsidR="00236F32" w:rsidRPr="0048790F" w:rsidRDefault="00F1198A" w:rsidP="00F1198A">
            <w:pPr>
              <w:pStyle w:val="ListParagraph"/>
              <w:numPr>
                <w:ilvl w:val="0"/>
                <w:numId w:val="3"/>
              </w:numPr>
              <w:rPr>
                <w:rFonts w:ascii="GillSansMT" w:hAnsi="GillSansMT" w:cs="GillSansMT"/>
              </w:rPr>
            </w:pPr>
            <w:r w:rsidRPr="002A61D8">
              <w:rPr>
                <w:rFonts w:ascii="Arial" w:hAnsi="Arial" w:cs="Arial"/>
              </w:rPr>
              <w:t>Children interact verbally and non-verbally with others for a range of purposes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2A61D8" w:rsidRDefault="00D32D31" w:rsidP="00456F57">
            <w:pPr>
              <w:rPr>
                <w:rFonts w:ascii="Arial" w:hAnsi="Arial" w:cs="Arial"/>
                <w:b/>
              </w:rPr>
            </w:pPr>
            <w:bookmarkStart w:id="0" w:name="_GoBack"/>
            <w:r w:rsidRPr="002A61D8">
              <w:rPr>
                <w:rFonts w:ascii="Arial" w:hAnsi="Arial" w:cs="Arial"/>
                <w:b/>
              </w:rPr>
              <w:t xml:space="preserve">Communicating </w:t>
            </w:r>
          </w:p>
          <w:p w:rsidR="0048790F" w:rsidRPr="002A61D8" w:rsidRDefault="004B6F99" w:rsidP="0048790F">
            <w:pPr>
              <w:pStyle w:val="ListParagraph"/>
              <w:numPr>
                <w:ilvl w:val="0"/>
                <w:numId w:val="1"/>
              </w:numPr>
              <w:rPr>
                <w:rFonts w:ascii="Arial" w:hAnsi="Arial" w:cs="Arial"/>
                <w:b/>
              </w:rPr>
            </w:pPr>
            <w:r w:rsidRPr="002A61D8">
              <w:rPr>
                <w:rFonts w:ascii="Arial" w:hAnsi="Arial" w:cs="Arial"/>
              </w:rPr>
              <w:t>E</w:t>
            </w:r>
            <w:r w:rsidR="00AE2676" w:rsidRPr="002A61D8">
              <w:rPr>
                <w:rFonts w:ascii="Arial" w:hAnsi="Arial" w:cs="Arial"/>
              </w:rPr>
              <w:t>xploring</w:t>
            </w:r>
            <w:r w:rsidR="0048790F" w:rsidRPr="002A61D8">
              <w:rPr>
                <w:rFonts w:ascii="Arial" w:hAnsi="Arial" w:cs="Arial"/>
              </w:rPr>
              <w:t xml:space="preserve"> literacy in personally meaningful ways</w:t>
            </w:r>
          </w:p>
          <w:p w:rsidR="00D32D31" w:rsidRPr="002A61D8" w:rsidRDefault="00F1198A" w:rsidP="0048790F">
            <w:pPr>
              <w:rPr>
                <w:rFonts w:ascii="Arial" w:hAnsi="Arial" w:cs="Arial"/>
                <w:b/>
              </w:rPr>
            </w:pPr>
            <w:r w:rsidRPr="002A61D8">
              <w:rPr>
                <w:rFonts w:ascii="Arial" w:hAnsi="Arial" w:cs="Arial"/>
                <w:b/>
              </w:rPr>
              <w:t xml:space="preserve">Identity </w:t>
            </w:r>
          </w:p>
          <w:p w:rsidR="00D32D31" w:rsidRPr="00D32D31" w:rsidRDefault="00B4424C" w:rsidP="00F1198A">
            <w:pPr>
              <w:pStyle w:val="ListParagraph"/>
              <w:numPr>
                <w:ilvl w:val="0"/>
                <w:numId w:val="1"/>
              </w:numPr>
              <w:rPr>
                <w:rFonts w:ascii="GillSansMT" w:hAnsi="GillSansMT" w:cs="GillSansMT"/>
              </w:rPr>
            </w:pPr>
            <w:r w:rsidRPr="002A61D8">
              <w:rPr>
                <w:rFonts w:ascii="Arial" w:hAnsi="Arial" w:cs="Arial"/>
              </w:rPr>
              <w:t>Building a sense of security and trust</w:t>
            </w:r>
            <w:r>
              <w:rPr>
                <w:rFonts w:ascii="GillSansMT" w:hAnsi="GillSansMT" w:cs="GillSansMT"/>
              </w:rPr>
              <w:t xml:space="preserve"> </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D32D31" w:rsidP="00456F57">
            <w:pPr>
              <w:rPr>
                <w:rFonts w:ascii="Arial" w:hAnsi="Arial" w:cs="Arial"/>
                <w:b/>
              </w:rPr>
            </w:pPr>
            <w:r>
              <w:rPr>
                <w:rFonts w:ascii="Arial" w:hAnsi="Arial" w:cs="Arial"/>
                <w:b/>
              </w:rPr>
              <w:t>English</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00713119" w:rsidRPr="00854902">
              <w:rPr>
                <w:rFonts w:ascii="Arial" w:hAnsi="Arial" w:cs="Arial"/>
                <w:b/>
              </w:rPr>
              <w:t xml:space="preserve">Literacy </w:t>
            </w:r>
            <w:r w:rsidRPr="00854902">
              <w:rPr>
                <w:rFonts w:ascii="Arial" w:hAnsi="Arial" w:cs="Arial"/>
                <w:b/>
              </w:rPr>
              <w:t xml:space="preserve"> </w:t>
            </w:r>
            <w:r w:rsidR="0014411A" w:rsidRPr="00854902">
              <w:rPr>
                <w:rFonts w:ascii="Arial" w:hAnsi="Arial" w:cs="Arial"/>
                <w:b/>
              </w:rPr>
              <w:t xml:space="preserve"> </w:t>
            </w:r>
            <w:r w:rsidR="00236F32" w:rsidRPr="00854902">
              <w:rPr>
                <w:rFonts w:ascii="Arial" w:hAnsi="Arial" w:cs="Arial"/>
                <w:b/>
              </w:rPr>
              <w:t xml:space="preserve"> </w:t>
            </w:r>
            <w:r w:rsidR="005F1BD4">
              <w:rPr>
                <w:rFonts w:ascii="Arial" w:hAnsi="Arial" w:cs="Arial"/>
                <w:b/>
              </w:rPr>
              <w:t xml:space="preserve"> </w:t>
            </w:r>
            <w:r w:rsidR="00456F57" w:rsidRPr="007F3551">
              <w:rPr>
                <w:rFonts w:ascii="Arial" w:hAnsi="Arial" w:cs="Arial"/>
                <w:b/>
              </w:rPr>
              <w:t xml:space="preserve"> </w:t>
            </w:r>
          </w:p>
          <w:p w:rsidR="00456F57" w:rsidRPr="00D32D31" w:rsidRDefault="00713119" w:rsidP="00456F57">
            <w:pPr>
              <w:pStyle w:val="ListParagraph"/>
              <w:numPr>
                <w:ilvl w:val="0"/>
                <w:numId w:val="1"/>
              </w:numPr>
              <w:rPr>
                <w:rFonts w:ascii="Arial" w:hAnsi="Arial" w:cs="Arial"/>
                <w:b/>
              </w:rPr>
            </w:pPr>
            <w:r>
              <w:rPr>
                <w:rFonts w:ascii="Arial" w:hAnsi="Arial" w:cs="Arial"/>
              </w:rPr>
              <w:t xml:space="preserve">Creating texts </w:t>
            </w:r>
          </w:p>
          <w:p w:rsidR="00D32D31" w:rsidRDefault="00D32D31" w:rsidP="00D32D31">
            <w:pPr>
              <w:rPr>
                <w:rFonts w:ascii="Arial" w:hAnsi="Arial" w:cs="Arial"/>
                <w:b/>
              </w:rPr>
            </w:pPr>
          </w:p>
          <w:p w:rsidR="00D32D31" w:rsidRDefault="00713119" w:rsidP="00D32D31">
            <w:pPr>
              <w:rPr>
                <w:rFonts w:ascii="Arial" w:hAnsi="Arial" w:cs="Arial"/>
                <w:b/>
              </w:rPr>
            </w:pPr>
            <w:r>
              <w:rPr>
                <w:rFonts w:ascii="Arial" w:hAnsi="Arial" w:cs="Arial"/>
                <w:b/>
              </w:rPr>
              <w:t>General capabilities</w:t>
            </w:r>
            <w:r w:rsidR="00D32D31">
              <w:rPr>
                <w:rFonts w:ascii="Arial" w:hAnsi="Arial" w:cs="Arial"/>
                <w:b/>
              </w:rPr>
              <w:t xml:space="preserve"> – </w:t>
            </w:r>
            <w:r w:rsidRPr="00854902">
              <w:rPr>
                <w:rFonts w:ascii="Arial" w:hAnsi="Arial" w:cs="Arial"/>
                <w:b/>
              </w:rPr>
              <w:t>Personal and Social Capability</w:t>
            </w:r>
            <w:r>
              <w:rPr>
                <w:rFonts w:ascii="Arial" w:hAnsi="Arial" w:cs="Arial"/>
              </w:rPr>
              <w:t xml:space="preserve"> </w:t>
            </w:r>
            <w:r w:rsidR="0048790F">
              <w:rPr>
                <w:rFonts w:ascii="Arial" w:hAnsi="Arial" w:cs="Arial"/>
              </w:rPr>
              <w:t xml:space="preserve"> </w:t>
            </w:r>
          </w:p>
          <w:p w:rsidR="005F1BD4" w:rsidRPr="00D32D31" w:rsidRDefault="00713119" w:rsidP="0014411A">
            <w:pPr>
              <w:pStyle w:val="ListParagraph"/>
              <w:numPr>
                <w:ilvl w:val="0"/>
                <w:numId w:val="1"/>
              </w:numPr>
              <w:rPr>
                <w:rFonts w:ascii="Arial" w:hAnsi="Arial" w:cs="Arial"/>
              </w:rPr>
            </w:pPr>
            <w:r>
              <w:rPr>
                <w:rFonts w:ascii="Arial" w:hAnsi="Arial" w:cs="Arial"/>
              </w:rPr>
              <w:t xml:space="preserve">Social management </w:t>
            </w:r>
            <w:r w:rsidR="0048790F">
              <w:rPr>
                <w:rFonts w:ascii="Arial" w:hAnsi="Arial" w:cs="Arial"/>
              </w:rPr>
              <w:t xml:space="preserve"> </w:t>
            </w:r>
            <w:r w:rsidR="00D32D31" w:rsidRPr="00D32D31">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68" w:rsidRDefault="00A11968" w:rsidP="00CA345F">
      <w:pPr>
        <w:spacing w:after="0" w:line="240" w:lineRule="auto"/>
      </w:pPr>
      <w:r>
        <w:separator/>
      </w:r>
    </w:p>
  </w:endnote>
  <w:endnote w:type="continuationSeparator" w:id="0">
    <w:p w:rsidR="00A11968" w:rsidRDefault="00A11968"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68" w:rsidRDefault="00A11968" w:rsidP="00CA345F">
      <w:pPr>
        <w:spacing w:after="0" w:line="240" w:lineRule="auto"/>
      </w:pPr>
      <w:r>
        <w:separator/>
      </w:r>
    </w:p>
  </w:footnote>
  <w:footnote w:type="continuationSeparator" w:id="0">
    <w:p w:rsidR="00A11968" w:rsidRDefault="00A11968"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F1198A">
      <w:rPr>
        <w:rFonts w:ascii="Londrina Solid Black" w:hAnsi="Londrina Solid Black"/>
        <w:b/>
        <w:color w:val="97467F"/>
        <w:sz w:val="26"/>
        <w:szCs w:val="26"/>
      </w:rPr>
      <w:t>, EPISODE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74640"/>
    <w:rsid w:val="00291E0C"/>
    <w:rsid w:val="002A61D8"/>
    <w:rsid w:val="002D6E6F"/>
    <w:rsid w:val="00356E88"/>
    <w:rsid w:val="003C72C4"/>
    <w:rsid w:val="00416A82"/>
    <w:rsid w:val="00456F57"/>
    <w:rsid w:val="0048790F"/>
    <w:rsid w:val="004B6F99"/>
    <w:rsid w:val="00541A0E"/>
    <w:rsid w:val="005F1BD4"/>
    <w:rsid w:val="00696DEF"/>
    <w:rsid w:val="006B6173"/>
    <w:rsid w:val="00713119"/>
    <w:rsid w:val="007F3551"/>
    <w:rsid w:val="00854902"/>
    <w:rsid w:val="00931230"/>
    <w:rsid w:val="00936666"/>
    <w:rsid w:val="009C3BEE"/>
    <w:rsid w:val="009D02C4"/>
    <w:rsid w:val="00A11968"/>
    <w:rsid w:val="00A14D11"/>
    <w:rsid w:val="00A47F65"/>
    <w:rsid w:val="00AE2676"/>
    <w:rsid w:val="00B4424C"/>
    <w:rsid w:val="00BE3614"/>
    <w:rsid w:val="00BF2A9C"/>
    <w:rsid w:val="00CA2702"/>
    <w:rsid w:val="00CA345F"/>
    <w:rsid w:val="00CB334E"/>
    <w:rsid w:val="00D32D31"/>
    <w:rsid w:val="00D50F97"/>
    <w:rsid w:val="00D97A24"/>
    <w:rsid w:val="00DD3824"/>
    <w:rsid w:val="00E1060E"/>
    <w:rsid w:val="00E44889"/>
    <w:rsid w:val="00F1198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2023-08-10T23:04:55+00:00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2023-08-10T23:04:55+00:00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FE3BA78E-48D6-4253-BFE3-52F3F2D264C8}"/>
</file>

<file path=customXml/itemProps2.xml><?xml version="1.0" encoding="utf-8"?>
<ds:datastoreItem xmlns:ds="http://schemas.openxmlformats.org/officeDocument/2006/customXml" ds:itemID="{390A5D00-B2C7-44D6-B3B4-45990158E587}"/>
</file>

<file path=customXml/itemProps3.xml><?xml version="1.0" encoding="utf-8"?>
<ds:datastoreItem xmlns:ds="http://schemas.openxmlformats.org/officeDocument/2006/customXml" ds:itemID="{C1487675-4BAD-4A84-BB02-468A7FB406F2}"/>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7 summary</dc:title>
  <dc:subject>Season 2 episode 7 summary</dc:subject>
  <dc:creator>Queensland Government</dc:creator>
  <cp:keywords>Season 2; episode 7; summary; Sally and Possum</cp:keywords>
  <dc:description/>
  <cp:lastModifiedBy>HIGGS, Jessica</cp:lastModifiedBy>
  <cp:revision>7</cp:revision>
  <cp:lastPrinted>2019-11-07T05:18:00Z</cp:lastPrinted>
  <dcterms:created xsi:type="dcterms:W3CDTF">2019-11-12T01:11:00Z</dcterms:created>
  <dcterms:modified xsi:type="dcterms:W3CDTF">2019-11-18T02:55:00Z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